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36E8D" w14:textId="77777777" w:rsidR="004C2E65" w:rsidRDefault="004C2E65" w:rsidP="004C2E65">
      <w:pPr>
        <w:jc w:val="center"/>
        <w:rPr>
          <w:sz w:val="28"/>
          <w:szCs w:val="28"/>
        </w:rPr>
      </w:pPr>
    </w:p>
    <w:p w14:paraId="01C36E8E" w14:textId="77777777" w:rsidR="004C2E65" w:rsidRDefault="004C2E65" w:rsidP="004C2E65">
      <w:pPr>
        <w:jc w:val="center"/>
        <w:rPr>
          <w:sz w:val="28"/>
          <w:szCs w:val="28"/>
        </w:rPr>
      </w:pPr>
    </w:p>
    <w:p w14:paraId="01C36E8F" w14:textId="77777777" w:rsidR="004C2E65" w:rsidRDefault="004C2E65" w:rsidP="004C2E65">
      <w:pPr>
        <w:jc w:val="center"/>
        <w:rPr>
          <w:sz w:val="28"/>
          <w:szCs w:val="28"/>
        </w:rPr>
      </w:pPr>
    </w:p>
    <w:p w14:paraId="01C36E90" w14:textId="77777777" w:rsidR="004C2E65" w:rsidRDefault="004C2E65" w:rsidP="004C2E65">
      <w:pPr>
        <w:jc w:val="center"/>
        <w:rPr>
          <w:sz w:val="28"/>
          <w:szCs w:val="28"/>
        </w:rPr>
      </w:pPr>
    </w:p>
    <w:p w14:paraId="01C36E91" w14:textId="77777777" w:rsidR="004C2E65" w:rsidRDefault="004C2E65" w:rsidP="004C2E65">
      <w:pPr>
        <w:jc w:val="center"/>
        <w:rPr>
          <w:sz w:val="28"/>
          <w:szCs w:val="28"/>
        </w:rPr>
      </w:pPr>
    </w:p>
    <w:p w14:paraId="01C36E92" w14:textId="77777777" w:rsidR="004C2E65" w:rsidRDefault="004C2E65" w:rsidP="004C2E65">
      <w:pPr>
        <w:jc w:val="center"/>
        <w:rPr>
          <w:sz w:val="28"/>
          <w:szCs w:val="28"/>
        </w:rPr>
      </w:pPr>
    </w:p>
    <w:p w14:paraId="01C36E93" w14:textId="3842E438" w:rsidR="004C2E65" w:rsidRDefault="00EF11F7" w:rsidP="00EF11F7">
      <w:pPr>
        <w:tabs>
          <w:tab w:val="left" w:pos="3456"/>
          <w:tab w:val="center" w:pos="4680"/>
        </w:tabs>
        <w:rPr>
          <w:sz w:val="28"/>
          <w:szCs w:val="28"/>
        </w:rPr>
      </w:pPr>
      <w:r>
        <w:rPr>
          <w:sz w:val="28"/>
          <w:szCs w:val="28"/>
        </w:rPr>
        <w:tab/>
      </w:r>
      <w:r>
        <w:rPr>
          <w:sz w:val="28"/>
          <w:szCs w:val="28"/>
        </w:rPr>
        <w:tab/>
      </w:r>
      <w:r w:rsidR="004C2E65" w:rsidRPr="004C2E65">
        <w:rPr>
          <w:sz w:val="28"/>
          <w:szCs w:val="28"/>
        </w:rPr>
        <w:t>ENV70</w:t>
      </w:r>
    </w:p>
    <w:p w14:paraId="01C36E94" w14:textId="77777777" w:rsidR="004C2E65" w:rsidRDefault="004C2E65" w:rsidP="004C2E65">
      <w:pPr>
        <w:jc w:val="center"/>
        <w:rPr>
          <w:sz w:val="28"/>
          <w:szCs w:val="28"/>
        </w:rPr>
      </w:pPr>
      <w:r w:rsidRPr="004C2E65">
        <w:rPr>
          <w:sz w:val="28"/>
          <w:szCs w:val="28"/>
        </w:rPr>
        <w:t>Global Product and Component Sp</w:t>
      </w:r>
      <w:r>
        <w:rPr>
          <w:sz w:val="28"/>
          <w:szCs w:val="28"/>
        </w:rPr>
        <w:t>ecification for the Environment</w:t>
      </w:r>
    </w:p>
    <w:p w14:paraId="01C36E95" w14:textId="77777777" w:rsidR="004C2E65" w:rsidRPr="004C2E65" w:rsidRDefault="004C2E65" w:rsidP="004C2E65">
      <w:pPr>
        <w:jc w:val="center"/>
        <w:rPr>
          <w:b/>
          <w:sz w:val="28"/>
          <w:szCs w:val="28"/>
        </w:rPr>
      </w:pPr>
      <w:r w:rsidRPr="004C2E65">
        <w:rPr>
          <w:sz w:val="28"/>
          <w:szCs w:val="28"/>
        </w:rPr>
        <w:t>(GPCSE)</w:t>
      </w:r>
    </w:p>
    <w:p w14:paraId="01C36E96" w14:textId="77777777" w:rsidR="004C2E65" w:rsidRDefault="004C2E65">
      <w:pPr>
        <w:rPr>
          <w:b/>
        </w:rPr>
      </w:pPr>
    </w:p>
    <w:p w14:paraId="01C36E97" w14:textId="77777777" w:rsidR="004C2E65" w:rsidRDefault="004C2E65">
      <w:pPr>
        <w:rPr>
          <w:b/>
        </w:rPr>
      </w:pPr>
      <w:r>
        <w:rPr>
          <w:b/>
        </w:rPr>
        <w:br w:type="page"/>
      </w:r>
    </w:p>
    <w:p w14:paraId="01C36E98" w14:textId="77777777" w:rsidR="004C2E65" w:rsidRPr="004C2E65" w:rsidRDefault="004C2E65">
      <w:pPr>
        <w:rPr>
          <w:b/>
        </w:rPr>
      </w:pPr>
    </w:p>
    <w:sdt>
      <w:sdtPr>
        <w:rPr>
          <w:rFonts w:ascii="Arial" w:eastAsiaTheme="minorHAnsi" w:hAnsi="Arial" w:cs="Arial"/>
          <w:b w:val="0"/>
          <w:bCs w:val="0"/>
          <w:color w:val="auto"/>
          <w:sz w:val="22"/>
          <w:szCs w:val="22"/>
        </w:rPr>
        <w:id w:val="22768706"/>
        <w:docPartObj>
          <w:docPartGallery w:val="Table of Contents"/>
          <w:docPartUnique/>
        </w:docPartObj>
      </w:sdtPr>
      <w:sdtContent>
        <w:p w14:paraId="01C36E99" w14:textId="77777777" w:rsidR="004C2E65" w:rsidRDefault="004C2E65">
          <w:pPr>
            <w:pStyle w:val="TOCHeading"/>
          </w:pPr>
          <w:r>
            <w:t>Contents</w:t>
          </w:r>
        </w:p>
        <w:p w14:paraId="28FA6254" w14:textId="37619455" w:rsidR="00DF49AF" w:rsidRDefault="00CF3AE4">
          <w:pPr>
            <w:pStyle w:val="TOC1"/>
            <w:tabs>
              <w:tab w:val="right" w:leader="dot" w:pos="9350"/>
            </w:tabs>
            <w:rPr>
              <w:rFonts w:asciiTheme="minorHAnsi" w:eastAsiaTheme="minorEastAsia" w:hAnsiTheme="minorHAnsi" w:cstheme="minorBidi"/>
              <w:noProof/>
            </w:rPr>
          </w:pPr>
          <w:r>
            <w:fldChar w:fldCharType="begin"/>
          </w:r>
          <w:r w:rsidR="004C2E65">
            <w:instrText xml:space="preserve"> TOC \o "1-3" \h \z \u </w:instrText>
          </w:r>
          <w:r>
            <w:fldChar w:fldCharType="separate"/>
          </w:r>
          <w:hyperlink w:anchor="_Toc450317806" w:history="1">
            <w:r w:rsidR="00DF49AF" w:rsidRPr="006128BB">
              <w:rPr>
                <w:rStyle w:val="Hyperlink"/>
                <w:noProof/>
              </w:rPr>
              <w:t>1. Purpose of the GPCSE</w:t>
            </w:r>
            <w:r w:rsidR="00DF49AF">
              <w:rPr>
                <w:noProof/>
                <w:webHidden/>
              </w:rPr>
              <w:tab/>
            </w:r>
            <w:r w:rsidR="00DF49AF">
              <w:rPr>
                <w:noProof/>
                <w:webHidden/>
              </w:rPr>
              <w:fldChar w:fldCharType="begin"/>
            </w:r>
            <w:r w:rsidR="00DF49AF">
              <w:rPr>
                <w:noProof/>
                <w:webHidden/>
              </w:rPr>
              <w:instrText xml:space="preserve"> PAGEREF _Toc450317806 \h </w:instrText>
            </w:r>
            <w:r w:rsidR="00DF49AF">
              <w:rPr>
                <w:noProof/>
                <w:webHidden/>
              </w:rPr>
            </w:r>
            <w:r w:rsidR="00DF49AF">
              <w:rPr>
                <w:noProof/>
                <w:webHidden/>
              </w:rPr>
              <w:fldChar w:fldCharType="separate"/>
            </w:r>
            <w:r w:rsidR="0094042C">
              <w:rPr>
                <w:noProof/>
                <w:webHidden/>
              </w:rPr>
              <w:t>3</w:t>
            </w:r>
            <w:r w:rsidR="00DF49AF">
              <w:rPr>
                <w:noProof/>
                <w:webHidden/>
              </w:rPr>
              <w:fldChar w:fldCharType="end"/>
            </w:r>
          </w:hyperlink>
        </w:p>
        <w:p w14:paraId="289B04D0" w14:textId="326DCCF2" w:rsidR="00DF49AF" w:rsidRDefault="007C7A31">
          <w:pPr>
            <w:pStyle w:val="TOC1"/>
            <w:tabs>
              <w:tab w:val="right" w:leader="dot" w:pos="9350"/>
            </w:tabs>
            <w:rPr>
              <w:rFonts w:asciiTheme="minorHAnsi" w:eastAsiaTheme="minorEastAsia" w:hAnsiTheme="minorHAnsi" w:cstheme="minorBidi"/>
              <w:noProof/>
            </w:rPr>
          </w:pPr>
          <w:hyperlink w:anchor="_Toc450317807" w:history="1">
            <w:r w:rsidR="00DF49AF" w:rsidRPr="006128BB">
              <w:rPr>
                <w:rStyle w:val="Hyperlink"/>
                <w:noProof/>
              </w:rPr>
              <w:t>2. Substance Restriction and Reporting Requirements</w:t>
            </w:r>
            <w:r w:rsidR="00DF49AF">
              <w:rPr>
                <w:noProof/>
                <w:webHidden/>
              </w:rPr>
              <w:tab/>
            </w:r>
            <w:r w:rsidR="00DF49AF">
              <w:rPr>
                <w:noProof/>
                <w:webHidden/>
              </w:rPr>
              <w:fldChar w:fldCharType="begin"/>
            </w:r>
            <w:r w:rsidR="00DF49AF">
              <w:rPr>
                <w:noProof/>
                <w:webHidden/>
              </w:rPr>
              <w:instrText xml:space="preserve"> PAGEREF _Toc450317807 \h </w:instrText>
            </w:r>
            <w:r w:rsidR="00DF49AF">
              <w:rPr>
                <w:noProof/>
                <w:webHidden/>
              </w:rPr>
            </w:r>
            <w:r w:rsidR="00DF49AF">
              <w:rPr>
                <w:noProof/>
                <w:webHidden/>
              </w:rPr>
              <w:fldChar w:fldCharType="separate"/>
            </w:r>
            <w:r w:rsidR="0094042C">
              <w:rPr>
                <w:noProof/>
                <w:webHidden/>
              </w:rPr>
              <w:t>4</w:t>
            </w:r>
            <w:r w:rsidR="00DF49AF">
              <w:rPr>
                <w:noProof/>
                <w:webHidden/>
              </w:rPr>
              <w:fldChar w:fldCharType="end"/>
            </w:r>
          </w:hyperlink>
        </w:p>
        <w:p w14:paraId="5E14604D" w14:textId="2259F033" w:rsidR="00DF49AF" w:rsidRDefault="007C7A31">
          <w:pPr>
            <w:pStyle w:val="TOC1"/>
            <w:tabs>
              <w:tab w:val="right" w:leader="dot" w:pos="9350"/>
            </w:tabs>
            <w:rPr>
              <w:rFonts w:asciiTheme="minorHAnsi" w:eastAsiaTheme="minorEastAsia" w:hAnsiTheme="minorHAnsi" w:cstheme="minorBidi"/>
              <w:noProof/>
            </w:rPr>
          </w:pPr>
          <w:hyperlink w:anchor="_Toc450317808" w:history="1">
            <w:r w:rsidR="00DF49AF" w:rsidRPr="006128BB">
              <w:rPr>
                <w:rStyle w:val="Hyperlink"/>
                <w:noProof/>
              </w:rPr>
              <w:t>3. Latest Revision Changes</w:t>
            </w:r>
            <w:r w:rsidR="00DF49AF">
              <w:rPr>
                <w:noProof/>
                <w:webHidden/>
              </w:rPr>
              <w:tab/>
            </w:r>
            <w:r w:rsidR="00DF49AF">
              <w:rPr>
                <w:noProof/>
                <w:webHidden/>
              </w:rPr>
              <w:fldChar w:fldCharType="begin"/>
            </w:r>
            <w:r w:rsidR="00DF49AF">
              <w:rPr>
                <w:noProof/>
                <w:webHidden/>
              </w:rPr>
              <w:instrText xml:space="preserve"> PAGEREF _Toc450317808 \h </w:instrText>
            </w:r>
            <w:r w:rsidR="00DF49AF">
              <w:rPr>
                <w:noProof/>
                <w:webHidden/>
              </w:rPr>
            </w:r>
            <w:r w:rsidR="00DF49AF">
              <w:rPr>
                <w:noProof/>
                <w:webHidden/>
              </w:rPr>
              <w:fldChar w:fldCharType="separate"/>
            </w:r>
            <w:r w:rsidR="0094042C">
              <w:rPr>
                <w:noProof/>
                <w:webHidden/>
              </w:rPr>
              <w:t>14</w:t>
            </w:r>
            <w:r w:rsidR="00DF49AF">
              <w:rPr>
                <w:noProof/>
                <w:webHidden/>
              </w:rPr>
              <w:fldChar w:fldCharType="end"/>
            </w:r>
          </w:hyperlink>
        </w:p>
        <w:p w14:paraId="4EBF416A" w14:textId="6A22686C" w:rsidR="00DF49AF" w:rsidRDefault="007C7A31">
          <w:pPr>
            <w:pStyle w:val="TOC1"/>
            <w:tabs>
              <w:tab w:val="right" w:leader="dot" w:pos="9350"/>
            </w:tabs>
            <w:rPr>
              <w:rFonts w:asciiTheme="minorHAnsi" w:eastAsiaTheme="minorEastAsia" w:hAnsiTheme="minorHAnsi" w:cstheme="minorBidi"/>
              <w:noProof/>
            </w:rPr>
          </w:pPr>
          <w:hyperlink w:anchor="_Toc450317809" w:history="1">
            <w:r w:rsidR="00DF49AF" w:rsidRPr="006128BB">
              <w:rPr>
                <w:rStyle w:val="Hyperlink"/>
                <w:noProof/>
              </w:rPr>
              <w:t>4. Instructions for Substance Declaration Worksheet</w:t>
            </w:r>
            <w:r w:rsidR="00DF49AF">
              <w:rPr>
                <w:noProof/>
                <w:webHidden/>
              </w:rPr>
              <w:tab/>
            </w:r>
            <w:r w:rsidR="00DF49AF">
              <w:rPr>
                <w:noProof/>
                <w:webHidden/>
              </w:rPr>
              <w:fldChar w:fldCharType="begin"/>
            </w:r>
            <w:r w:rsidR="00DF49AF">
              <w:rPr>
                <w:noProof/>
                <w:webHidden/>
              </w:rPr>
              <w:instrText xml:space="preserve"> PAGEREF _Toc450317809 \h </w:instrText>
            </w:r>
            <w:r w:rsidR="00DF49AF">
              <w:rPr>
                <w:noProof/>
                <w:webHidden/>
              </w:rPr>
            </w:r>
            <w:r w:rsidR="00DF49AF">
              <w:rPr>
                <w:noProof/>
                <w:webHidden/>
              </w:rPr>
              <w:fldChar w:fldCharType="separate"/>
            </w:r>
            <w:r w:rsidR="0094042C">
              <w:rPr>
                <w:noProof/>
                <w:webHidden/>
              </w:rPr>
              <w:t>15</w:t>
            </w:r>
            <w:r w:rsidR="00DF49AF">
              <w:rPr>
                <w:noProof/>
                <w:webHidden/>
              </w:rPr>
              <w:fldChar w:fldCharType="end"/>
            </w:r>
          </w:hyperlink>
        </w:p>
        <w:p w14:paraId="1A3D5860" w14:textId="1C5262D0" w:rsidR="00DF49AF" w:rsidRDefault="007C7A31">
          <w:pPr>
            <w:pStyle w:val="TOC1"/>
            <w:tabs>
              <w:tab w:val="right" w:leader="dot" w:pos="9350"/>
            </w:tabs>
            <w:rPr>
              <w:rFonts w:asciiTheme="minorHAnsi" w:eastAsiaTheme="minorEastAsia" w:hAnsiTheme="minorHAnsi" w:cstheme="minorBidi"/>
              <w:noProof/>
            </w:rPr>
          </w:pPr>
          <w:hyperlink w:anchor="_Toc450317810" w:history="1">
            <w:r w:rsidR="00DF49AF" w:rsidRPr="006128BB">
              <w:rPr>
                <w:rStyle w:val="Hyperlink"/>
                <w:noProof/>
              </w:rPr>
              <w:t>Substance Declaration Worksheet</w:t>
            </w:r>
            <w:r w:rsidR="00DF49AF">
              <w:rPr>
                <w:noProof/>
                <w:webHidden/>
              </w:rPr>
              <w:tab/>
            </w:r>
            <w:r w:rsidR="00DF49AF">
              <w:rPr>
                <w:noProof/>
                <w:webHidden/>
              </w:rPr>
              <w:fldChar w:fldCharType="begin"/>
            </w:r>
            <w:r w:rsidR="00DF49AF">
              <w:rPr>
                <w:noProof/>
                <w:webHidden/>
              </w:rPr>
              <w:instrText xml:space="preserve"> PAGEREF _Toc450317810 \h </w:instrText>
            </w:r>
            <w:r w:rsidR="00DF49AF">
              <w:rPr>
                <w:noProof/>
                <w:webHidden/>
              </w:rPr>
            </w:r>
            <w:r w:rsidR="00DF49AF">
              <w:rPr>
                <w:noProof/>
                <w:webHidden/>
              </w:rPr>
              <w:fldChar w:fldCharType="separate"/>
            </w:r>
            <w:r w:rsidR="0094042C">
              <w:rPr>
                <w:noProof/>
                <w:webHidden/>
              </w:rPr>
              <w:t>16</w:t>
            </w:r>
            <w:r w:rsidR="00DF49AF">
              <w:rPr>
                <w:noProof/>
                <w:webHidden/>
              </w:rPr>
              <w:fldChar w:fldCharType="end"/>
            </w:r>
          </w:hyperlink>
        </w:p>
        <w:p w14:paraId="01C36EA1" w14:textId="77777777" w:rsidR="004C2E65" w:rsidRPr="004C2E65" w:rsidRDefault="00CF3AE4">
          <w:r>
            <w:fldChar w:fldCharType="end"/>
          </w:r>
        </w:p>
      </w:sdtContent>
    </w:sdt>
    <w:p w14:paraId="01C36EA2" w14:textId="77777777" w:rsidR="004C2E65" w:rsidRDefault="004C2E65">
      <w:pPr>
        <w:rPr>
          <w:rFonts w:eastAsiaTheme="majorEastAsia"/>
          <w:b/>
          <w:bCs/>
          <w:color w:val="365F91" w:themeColor="accent1" w:themeShade="BF"/>
          <w:sz w:val="28"/>
          <w:szCs w:val="28"/>
        </w:rPr>
      </w:pPr>
      <w:r>
        <w:br w:type="page"/>
      </w:r>
    </w:p>
    <w:p w14:paraId="01C36EA3" w14:textId="5AF0C724" w:rsidR="00126EFD" w:rsidRPr="006E541E" w:rsidRDefault="004C2E65" w:rsidP="00A71187">
      <w:pPr>
        <w:pStyle w:val="Heading1"/>
        <w:spacing w:before="0" w:after="240"/>
        <w:rPr>
          <w:rFonts w:ascii="Arial" w:hAnsi="Arial" w:cs="Arial"/>
        </w:rPr>
      </w:pPr>
      <w:bookmarkStart w:id="0" w:name="_Toc450317806"/>
      <w:r>
        <w:rPr>
          <w:rFonts w:ascii="Arial" w:hAnsi="Arial" w:cs="Arial"/>
        </w:rPr>
        <w:lastRenderedPageBreak/>
        <w:t xml:space="preserve">1. </w:t>
      </w:r>
      <w:r w:rsidR="00126EFD" w:rsidRPr="006E541E">
        <w:rPr>
          <w:rFonts w:ascii="Arial" w:hAnsi="Arial" w:cs="Arial"/>
        </w:rPr>
        <w:t>Purpose</w:t>
      </w:r>
      <w:r w:rsidR="0026073A">
        <w:rPr>
          <w:rFonts w:ascii="Arial" w:hAnsi="Arial" w:cs="Arial"/>
        </w:rPr>
        <w:t xml:space="preserve"> of the GPCSE</w:t>
      </w:r>
      <w:bookmarkEnd w:id="0"/>
    </w:p>
    <w:p w14:paraId="21ACADBC" w14:textId="660E39CA" w:rsidR="005F410F" w:rsidRPr="005F410F" w:rsidRDefault="005F410F" w:rsidP="005F410F">
      <w:r w:rsidRPr="005F410F">
        <w:t>X-Rite and Pantone (herein collectively referred to as “X-Rite</w:t>
      </w:r>
      <w:proofErr w:type="gramStart"/>
      <w:r w:rsidRPr="005F410F">
        <w:t>”)  are</w:t>
      </w:r>
      <w:proofErr w:type="gramEnd"/>
      <w:r w:rsidRPr="005F410F">
        <w:t xml:space="preserve"> providers of products to a wor</w:t>
      </w:r>
      <w:r w:rsidR="00817F91">
        <w:t>ld-wide customer base. T</w:t>
      </w:r>
      <w:r w:rsidR="006429E9">
        <w:t>he design</w:t>
      </w:r>
      <w:r w:rsidR="00F0497B">
        <w:t xml:space="preserve">, </w:t>
      </w:r>
      <w:r w:rsidR="00165455">
        <w:t>parts and material</w:t>
      </w:r>
      <w:r w:rsidR="00C15FD6">
        <w:t>s</w:t>
      </w:r>
      <w:r w:rsidR="00F0497B">
        <w:t>, and manufacturing</w:t>
      </w:r>
      <w:r w:rsidRPr="005F410F">
        <w:t xml:space="preserve"> that go into these products and their packaging must comply with a world-wide range of substance restriction and reporting regulations.</w:t>
      </w:r>
    </w:p>
    <w:p w14:paraId="7891D278" w14:textId="4ACBEC20" w:rsidR="005F410F" w:rsidRPr="005F410F" w:rsidRDefault="005F410F" w:rsidP="005F410F">
      <w:r w:rsidRPr="005F410F">
        <w:t xml:space="preserve">This GPCSE document focuses on identifying </w:t>
      </w:r>
      <w:r w:rsidR="007814EF">
        <w:t xml:space="preserve">those </w:t>
      </w:r>
      <w:r w:rsidRPr="005F410F">
        <w:t>substance restrictions and repor</w:t>
      </w:r>
      <w:r w:rsidR="007814EF">
        <w:t xml:space="preserve">ting regulations </w:t>
      </w:r>
      <w:r w:rsidRPr="005F410F">
        <w:t>which might reasonably be ass</w:t>
      </w:r>
      <w:r w:rsidR="006429E9">
        <w:t xml:space="preserve">ociated with </w:t>
      </w:r>
      <w:r w:rsidR="00723FBD">
        <w:t xml:space="preserve">the </w:t>
      </w:r>
      <w:r w:rsidR="00F0497B" w:rsidRPr="00F0497B">
        <w:t xml:space="preserve">design, </w:t>
      </w:r>
      <w:r w:rsidR="00165455">
        <w:t>parts and material</w:t>
      </w:r>
      <w:r w:rsidR="00C15FD6">
        <w:t>s</w:t>
      </w:r>
      <w:r w:rsidR="00F0497B" w:rsidRPr="00F0497B">
        <w:t>, and manufacturing</w:t>
      </w:r>
      <w:r w:rsidR="00723FBD">
        <w:t xml:space="preserve"> of</w:t>
      </w:r>
      <w:r w:rsidRPr="005F410F">
        <w:t xml:space="preserve"> X-Rite products and packaging. </w:t>
      </w:r>
    </w:p>
    <w:p w14:paraId="0D44493F" w14:textId="0C2E5721" w:rsidR="005F410F" w:rsidRPr="005F410F" w:rsidRDefault="00817F91" w:rsidP="005F410F">
      <w:r>
        <w:t>Some substance restriction and reporting</w:t>
      </w:r>
      <w:r w:rsidR="007814EF">
        <w:t xml:space="preserve"> regulations (e.g., banned pesticides) </w:t>
      </w:r>
      <w:r w:rsidR="005F410F" w:rsidRPr="005F410F">
        <w:t xml:space="preserve">are intentionally not listed </w:t>
      </w:r>
      <w:r w:rsidR="007814EF">
        <w:t xml:space="preserve">in the GPCSE as </w:t>
      </w:r>
      <w:r>
        <w:t>they</w:t>
      </w:r>
      <w:r w:rsidR="007814EF">
        <w:t xml:space="preserve"> are unlikely to be </w:t>
      </w:r>
      <w:r w:rsidR="006429E9">
        <w:t xml:space="preserve">associated with the </w:t>
      </w:r>
      <w:r w:rsidR="00F0497B" w:rsidRPr="00F0497B">
        <w:t xml:space="preserve">design, </w:t>
      </w:r>
      <w:r w:rsidR="00165455">
        <w:t>parts and material</w:t>
      </w:r>
      <w:r w:rsidR="00C15FD6">
        <w:t>s</w:t>
      </w:r>
      <w:r w:rsidR="00F0497B" w:rsidRPr="00F0497B">
        <w:t>, and manufacturing</w:t>
      </w:r>
      <w:r w:rsidR="007814EF">
        <w:t xml:space="preserve"> of X-Rite products and packaging.</w:t>
      </w:r>
      <w:r w:rsidR="005F410F" w:rsidRPr="005F410F">
        <w:t xml:space="preserve"> This omission does not preclude the </w:t>
      </w:r>
      <w:r w:rsidR="00E05A33">
        <w:t>provider</w:t>
      </w:r>
      <w:r w:rsidR="005F410F" w:rsidRPr="005F410F">
        <w:t>’s obligation for complying with all published environmental and substance regulations that are applicable to their operations and products.</w:t>
      </w:r>
    </w:p>
    <w:p w14:paraId="0FBAAEE9" w14:textId="3D07D965" w:rsidR="005F410F" w:rsidRPr="005F410F" w:rsidRDefault="00F81B81" w:rsidP="005F410F">
      <w:r>
        <w:t>X-Rite’s</w:t>
      </w:r>
      <w:r w:rsidR="005F410F" w:rsidRPr="005F410F">
        <w:t xml:space="preserve"> </w:t>
      </w:r>
      <w:r w:rsidR="00BC1516">
        <w:t>procurement</w:t>
      </w:r>
      <w:r w:rsidR="004D1376">
        <w:t xml:space="preserve"> process</w:t>
      </w:r>
      <w:r w:rsidR="00DF4DC6">
        <w:t xml:space="preserve"> and </w:t>
      </w:r>
      <w:r w:rsidR="00F0497B">
        <w:t xml:space="preserve">its </w:t>
      </w:r>
      <w:r w:rsidR="005F410F" w:rsidRPr="005F410F">
        <w:t>standard purchasi</w:t>
      </w:r>
      <w:r w:rsidR="00414C52">
        <w:t xml:space="preserve">ng terms and conditions </w:t>
      </w:r>
      <w:r w:rsidR="005F410F" w:rsidRPr="005F410F">
        <w:t xml:space="preserve">requires all </w:t>
      </w:r>
      <w:r w:rsidR="00E05A33">
        <w:t>provider</w:t>
      </w:r>
      <w:r w:rsidR="00165455">
        <w:t>s of parts and material</w:t>
      </w:r>
      <w:r w:rsidR="00C15FD6">
        <w:t>s</w:t>
      </w:r>
      <w:r w:rsidR="005F410F" w:rsidRPr="005F410F">
        <w:t xml:space="preserve"> for use in X-Rite products and packaging to comply with the substance </w:t>
      </w:r>
      <w:r w:rsidR="002B24D4">
        <w:t xml:space="preserve">restriction and reporting </w:t>
      </w:r>
      <w:r w:rsidR="005F410F" w:rsidRPr="005F410F">
        <w:t xml:space="preserve">requirements listed herein. </w:t>
      </w:r>
      <w:r w:rsidR="00E05A33">
        <w:t>Provider</w:t>
      </w:r>
      <w:r w:rsidR="005F410F" w:rsidRPr="005F410F">
        <w:t xml:space="preserve">s must agree to provide adequate substance disclosure </w:t>
      </w:r>
      <w:r w:rsidR="00165455">
        <w:t>information to justify the parts and material</w:t>
      </w:r>
      <w:r w:rsidR="00C15FD6">
        <w:t>s</w:t>
      </w:r>
      <w:r w:rsidR="005F410F" w:rsidRPr="005F410F">
        <w:t xml:space="preserve"> they are providing </w:t>
      </w:r>
      <w:proofErr w:type="gramStart"/>
      <w:r w:rsidR="005F410F" w:rsidRPr="005F410F">
        <w:t>are in compliance</w:t>
      </w:r>
      <w:proofErr w:type="gramEnd"/>
      <w:r w:rsidR="005F410F" w:rsidRPr="005F410F">
        <w:t>. Such information will be used by X-Rite to roll-up the aggregate substance compliance status of finished products and packaging being placed on the mark</w:t>
      </w:r>
      <w:r w:rsidR="007C6CCD">
        <w:t xml:space="preserve">et to ensure compliance with </w:t>
      </w:r>
      <w:r w:rsidR="005F410F" w:rsidRPr="005F410F">
        <w:t xml:space="preserve">regulations and to </w:t>
      </w:r>
      <w:r w:rsidR="007C6CCD">
        <w:t xml:space="preserve">be able to </w:t>
      </w:r>
      <w:r w:rsidR="005F410F" w:rsidRPr="005F410F">
        <w:t xml:space="preserve">respond to customer </w:t>
      </w:r>
      <w:proofErr w:type="spellStart"/>
      <w:r w:rsidR="005F410F" w:rsidRPr="005F410F">
        <w:t>inquries</w:t>
      </w:r>
      <w:proofErr w:type="spellEnd"/>
      <w:r w:rsidR="005F410F" w:rsidRPr="005F410F">
        <w:t>.</w:t>
      </w:r>
    </w:p>
    <w:p w14:paraId="07D4DCE4" w14:textId="712BDEF1" w:rsidR="005F410F" w:rsidRPr="005F410F" w:rsidRDefault="005F410F" w:rsidP="005F410F">
      <w:r w:rsidRPr="005F410F">
        <w:t xml:space="preserve">World-wide regulations, and thus the GPCSE, are subject to ongoing updates. </w:t>
      </w:r>
      <w:proofErr w:type="gramStart"/>
      <w:r w:rsidR="00E05A33">
        <w:t>Provider</w:t>
      </w:r>
      <w:r w:rsidRPr="005F410F">
        <w:t>s  are</w:t>
      </w:r>
      <w:proofErr w:type="gramEnd"/>
      <w:r w:rsidRPr="005F410F">
        <w:t xml:space="preserve"> </w:t>
      </w:r>
      <w:r w:rsidR="008743ED">
        <w:t xml:space="preserve">required </w:t>
      </w:r>
      <w:r w:rsidRPr="005F410F">
        <w:t xml:space="preserve">to proactively use the latest GPCSE (available at </w:t>
      </w:r>
      <w:r w:rsidR="00533631">
        <w:t>supplier</w:t>
      </w:r>
      <w:r w:rsidRPr="005F410F">
        <w:t xml:space="preserve">.xrite.com) and </w:t>
      </w:r>
      <w:r w:rsidR="002B24D4">
        <w:t xml:space="preserve">latest </w:t>
      </w:r>
      <w:r w:rsidRPr="005F410F">
        <w:t>published regulations</w:t>
      </w:r>
      <w:r w:rsidR="00C96471">
        <w:t xml:space="preserve"> for determining compliance status</w:t>
      </w:r>
      <w:r w:rsidR="002B24D4">
        <w:t xml:space="preserve">. The provider is </w:t>
      </w:r>
      <w:r w:rsidR="00387436">
        <w:t>required</w:t>
      </w:r>
      <w:r w:rsidR="002B24D4">
        <w:t xml:space="preserve"> to communica</w:t>
      </w:r>
      <w:r w:rsidR="00C0154C">
        <w:t>te any updated substance restriction or reporting</w:t>
      </w:r>
      <w:r w:rsidR="002B24D4">
        <w:t xml:space="preserve"> </w:t>
      </w:r>
      <w:r w:rsidR="00C75BD7">
        <w:t>information</w:t>
      </w:r>
      <w:r w:rsidR="00165455">
        <w:t xml:space="preserve"> regarding their parts and material</w:t>
      </w:r>
      <w:r w:rsidR="00C15FD6">
        <w:t>s</w:t>
      </w:r>
      <w:r w:rsidR="00C75BD7">
        <w:t xml:space="preserve"> </w:t>
      </w:r>
      <w:r w:rsidR="002B24D4">
        <w:t>to X-Rite as soon as possible.</w:t>
      </w:r>
    </w:p>
    <w:p w14:paraId="0C2ACBCE" w14:textId="3B14A8EE" w:rsidR="005F410F" w:rsidRPr="005F410F" w:rsidRDefault="005F410F" w:rsidP="005F410F">
      <w:r w:rsidRPr="005F410F">
        <w:t>Any exceptions to the requirements of this document must be clearly justified and approved by X-Rite prior to the receipt and use of the affected parts or material</w:t>
      </w:r>
      <w:r w:rsidR="00C15FD6">
        <w:t>s</w:t>
      </w:r>
      <w:r w:rsidRPr="005F410F">
        <w:t>.</w:t>
      </w:r>
    </w:p>
    <w:p w14:paraId="0626417D" w14:textId="394A5425" w:rsidR="006961A2" w:rsidRPr="0026073A" w:rsidRDefault="005F410F">
      <w:r w:rsidRPr="005F410F">
        <w:t>Other compliance related requirements such as labeling, marking, material certifications, energy usage efficiency, etc., may also apply as directed by X-Rite.</w:t>
      </w:r>
    </w:p>
    <w:p w14:paraId="33CDD933" w14:textId="77777777" w:rsidR="0026073A" w:rsidRDefault="0026073A">
      <w:pPr>
        <w:rPr>
          <w:rFonts w:eastAsiaTheme="majorEastAsia"/>
          <w:b/>
          <w:bCs/>
          <w:color w:val="365F91" w:themeColor="accent1" w:themeShade="BF"/>
          <w:sz w:val="28"/>
          <w:szCs w:val="28"/>
        </w:rPr>
      </w:pPr>
      <w:r>
        <w:br w:type="page"/>
      </w:r>
    </w:p>
    <w:p w14:paraId="01C3729A" w14:textId="3C9234C7" w:rsidR="00314B7C" w:rsidRPr="006E541E" w:rsidRDefault="00A76668" w:rsidP="002B6243">
      <w:pPr>
        <w:pStyle w:val="Heading1"/>
        <w:keepLines w:val="0"/>
        <w:widowControl w:val="0"/>
        <w:spacing w:after="240"/>
        <w:rPr>
          <w:rFonts w:ascii="Arial" w:hAnsi="Arial" w:cs="Arial"/>
        </w:rPr>
      </w:pPr>
      <w:bookmarkStart w:id="1" w:name="_Toc450317807"/>
      <w:r>
        <w:rPr>
          <w:rFonts w:ascii="Arial" w:hAnsi="Arial" w:cs="Arial"/>
        </w:rPr>
        <w:lastRenderedPageBreak/>
        <w:t>2</w:t>
      </w:r>
      <w:r w:rsidR="004C2E65">
        <w:rPr>
          <w:rFonts w:ascii="Arial" w:hAnsi="Arial" w:cs="Arial"/>
        </w:rPr>
        <w:t xml:space="preserve">. </w:t>
      </w:r>
      <w:r w:rsidR="00314B7C" w:rsidRPr="006E541E">
        <w:rPr>
          <w:rFonts w:ascii="Arial" w:hAnsi="Arial" w:cs="Arial"/>
        </w:rPr>
        <w:t xml:space="preserve">Substance </w:t>
      </w:r>
      <w:r>
        <w:rPr>
          <w:rFonts w:ascii="Arial" w:hAnsi="Arial" w:cs="Arial"/>
        </w:rPr>
        <w:t xml:space="preserve">Restriction and Reporting </w:t>
      </w:r>
      <w:r w:rsidR="00314B7C" w:rsidRPr="006E541E">
        <w:rPr>
          <w:rFonts w:ascii="Arial" w:hAnsi="Arial" w:cs="Arial"/>
        </w:rPr>
        <w:t>Requirements</w:t>
      </w:r>
      <w:bookmarkEnd w:id="1"/>
    </w:p>
    <w:p w14:paraId="567DED0F" w14:textId="22A18329" w:rsidR="000D13C4" w:rsidRPr="008C1CD6" w:rsidRDefault="00375FD2" w:rsidP="000D13C4">
      <w:pPr>
        <w:keepNext/>
        <w:keepLines/>
        <w:rPr>
          <w:color w:val="000000" w:themeColor="text1"/>
        </w:rPr>
      </w:pPr>
      <w:r w:rsidRPr="008C1CD6">
        <w:rPr>
          <w:color w:val="000000" w:themeColor="text1"/>
        </w:rPr>
        <w:t>The</w:t>
      </w:r>
      <w:r w:rsidRPr="008C1CD6">
        <w:rPr>
          <w:b/>
          <w:color w:val="000000" w:themeColor="text1"/>
        </w:rPr>
        <w:t xml:space="preserve"> </w:t>
      </w:r>
      <w:r w:rsidR="00A7048C" w:rsidRPr="008C1CD6">
        <w:rPr>
          <w:color w:val="000000" w:themeColor="text1"/>
        </w:rPr>
        <w:t>following</w:t>
      </w:r>
      <w:r w:rsidR="00A7048C" w:rsidRPr="008C1CD6">
        <w:rPr>
          <w:b/>
          <w:color w:val="000000" w:themeColor="text1"/>
        </w:rPr>
        <w:t xml:space="preserve"> </w:t>
      </w:r>
      <w:r w:rsidR="00A76668">
        <w:rPr>
          <w:color w:val="000000" w:themeColor="text1"/>
        </w:rPr>
        <w:t>table</w:t>
      </w:r>
      <w:r w:rsidRPr="008C1CD6">
        <w:rPr>
          <w:color w:val="000000" w:themeColor="text1"/>
        </w:rPr>
        <w:t xml:space="preserve"> is based on </w:t>
      </w:r>
      <w:r w:rsidR="00C07B32" w:rsidRPr="008C1CD6">
        <w:rPr>
          <w:color w:val="000000" w:themeColor="text1"/>
        </w:rPr>
        <w:t xml:space="preserve">various </w:t>
      </w:r>
      <w:r w:rsidR="00BA6A6C">
        <w:rPr>
          <w:color w:val="000000" w:themeColor="text1"/>
        </w:rPr>
        <w:t xml:space="preserve">world-wide </w:t>
      </w:r>
      <w:r w:rsidR="00C07B32" w:rsidRPr="008C1CD6">
        <w:rPr>
          <w:color w:val="000000" w:themeColor="text1"/>
        </w:rPr>
        <w:t>r</w:t>
      </w:r>
      <w:r w:rsidR="002E7EC5" w:rsidRPr="008C1CD6">
        <w:rPr>
          <w:color w:val="000000" w:themeColor="text1"/>
        </w:rPr>
        <w:t xml:space="preserve">egulations </w:t>
      </w:r>
      <w:r w:rsidRPr="008C1CD6">
        <w:rPr>
          <w:color w:val="000000" w:themeColor="text1"/>
        </w:rPr>
        <w:t xml:space="preserve">and contains </w:t>
      </w:r>
      <w:r w:rsidR="00542D68">
        <w:rPr>
          <w:b/>
          <w:color w:val="000000" w:themeColor="text1"/>
        </w:rPr>
        <w:t>restriction</w:t>
      </w:r>
      <w:r w:rsidRPr="008C1CD6">
        <w:rPr>
          <w:color w:val="000000" w:themeColor="text1"/>
        </w:rPr>
        <w:t xml:space="preserve"> and </w:t>
      </w:r>
      <w:proofErr w:type="gramStart"/>
      <w:r w:rsidR="00542D68">
        <w:rPr>
          <w:b/>
          <w:color w:val="000000" w:themeColor="text1"/>
        </w:rPr>
        <w:t>reporting</w:t>
      </w:r>
      <w:r w:rsidR="006429E9">
        <w:rPr>
          <w:b/>
          <w:color w:val="000000" w:themeColor="text1"/>
        </w:rPr>
        <w:t xml:space="preserve"> </w:t>
      </w:r>
      <w:r w:rsidRPr="008C1CD6">
        <w:rPr>
          <w:color w:val="000000" w:themeColor="text1"/>
        </w:rPr>
        <w:t xml:space="preserve"> requirements</w:t>
      </w:r>
      <w:proofErr w:type="gramEnd"/>
      <w:r w:rsidRPr="008C1CD6">
        <w:rPr>
          <w:color w:val="000000" w:themeColor="text1"/>
        </w:rPr>
        <w:t xml:space="preserve"> for substances that may reasonably be expected to</w:t>
      </w:r>
      <w:r w:rsidR="001B0329" w:rsidRPr="008C1CD6">
        <w:rPr>
          <w:color w:val="000000" w:themeColor="text1"/>
        </w:rPr>
        <w:t xml:space="preserve"> occur</w:t>
      </w:r>
      <w:r w:rsidR="006429E9">
        <w:rPr>
          <w:color w:val="000000" w:themeColor="text1"/>
        </w:rPr>
        <w:t xml:space="preserve"> in </w:t>
      </w:r>
      <w:r w:rsidR="00BA6A6C">
        <w:rPr>
          <w:color w:val="000000" w:themeColor="text1"/>
        </w:rPr>
        <w:t xml:space="preserve">the </w:t>
      </w:r>
      <w:r w:rsidR="00E7421D">
        <w:rPr>
          <w:color w:val="000000" w:themeColor="text1"/>
        </w:rPr>
        <w:t>design, parts and material</w:t>
      </w:r>
      <w:r w:rsidR="00C15FD6">
        <w:rPr>
          <w:color w:val="000000" w:themeColor="text1"/>
        </w:rPr>
        <w:t>s</w:t>
      </w:r>
      <w:r w:rsidR="00BA6A6C" w:rsidRPr="00BA6A6C">
        <w:rPr>
          <w:color w:val="000000" w:themeColor="text1"/>
        </w:rPr>
        <w:t>, and manufacturing</w:t>
      </w:r>
      <w:r w:rsidR="00BA6A6C">
        <w:rPr>
          <w:color w:val="000000" w:themeColor="text1"/>
        </w:rPr>
        <w:t xml:space="preserve"> that go into </w:t>
      </w:r>
      <w:r w:rsidR="00C84946">
        <w:rPr>
          <w:color w:val="000000" w:themeColor="text1"/>
        </w:rPr>
        <w:t xml:space="preserve">X-Rite </w:t>
      </w:r>
      <w:r w:rsidR="00A7048C" w:rsidRPr="008C1CD6">
        <w:rPr>
          <w:b/>
          <w:color w:val="000000" w:themeColor="text1"/>
        </w:rPr>
        <w:t>products</w:t>
      </w:r>
      <w:r w:rsidR="00A7048C" w:rsidRPr="008C1CD6">
        <w:rPr>
          <w:color w:val="000000" w:themeColor="text1"/>
        </w:rPr>
        <w:t xml:space="preserve"> and </w:t>
      </w:r>
      <w:r w:rsidR="00A7048C" w:rsidRPr="008C1CD6">
        <w:rPr>
          <w:b/>
          <w:color w:val="000000" w:themeColor="text1"/>
        </w:rPr>
        <w:t>packaging</w:t>
      </w:r>
      <w:r w:rsidRPr="008C1CD6">
        <w:rPr>
          <w:color w:val="000000" w:themeColor="text1"/>
        </w:rPr>
        <w:t xml:space="preserve">. The referenced regulations </w:t>
      </w:r>
      <w:r w:rsidR="00D818D5" w:rsidRPr="008C1CD6">
        <w:rPr>
          <w:color w:val="000000" w:themeColor="text1"/>
        </w:rPr>
        <w:t xml:space="preserve">apply in their entirety and </w:t>
      </w:r>
      <w:r w:rsidRPr="008C1CD6">
        <w:rPr>
          <w:color w:val="000000" w:themeColor="text1"/>
        </w:rPr>
        <w:t>should always be consulted for</w:t>
      </w:r>
      <w:r w:rsidRPr="00542D68">
        <w:rPr>
          <w:color w:val="000000" w:themeColor="text1"/>
        </w:rPr>
        <w:t xml:space="preserve"> a complete l</w:t>
      </w:r>
      <w:r w:rsidRPr="008C1CD6">
        <w:rPr>
          <w:color w:val="000000" w:themeColor="text1"/>
        </w:rPr>
        <w:t xml:space="preserve">ist of substances and related </w:t>
      </w:r>
      <w:r w:rsidR="00E05A33">
        <w:rPr>
          <w:color w:val="000000" w:themeColor="text1"/>
        </w:rPr>
        <w:t xml:space="preserve">restriction and reporting </w:t>
      </w:r>
      <w:r w:rsidRPr="008C1CD6">
        <w:rPr>
          <w:color w:val="000000" w:themeColor="text1"/>
        </w:rPr>
        <w:t>requirements.</w:t>
      </w:r>
    </w:p>
    <w:tbl>
      <w:tblPr>
        <w:tblStyle w:val="TableGrid"/>
        <w:tblW w:w="9549" w:type="dxa"/>
        <w:tblInd w:w="9" w:type="dxa"/>
        <w:tblLayout w:type="fixed"/>
        <w:tblLook w:val="04E0" w:firstRow="1" w:lastRow="1" w:firstColumn="1" w:lastColumn="0" w:noHBand="0" w:noVBand="1"/>
      </w:tblPr>
      <w:tblGrid>
        <w:gridCol w:w="9"/>
        <w:gridCol w:w="2137"/>
        <w:gridCol w:w="1350"/>
        <w:gridCol w:w="3621"/>
        <w:gridCol w:w="2425"/>
        <w:gridCol w:w="7"/>
      </w:tblGrid>
      <w:tr w:rsidR="003932EF" w:rsidRPr="000A7A3D" w14:paraId="01C372A0" w14:textId="77777777" w:rsidTr="006F364B">
        <w:trPr>
          <w:gridBefore w:val="1"/>
          <w:wBefore w:w="9" w:type="dxa"/>
          <w:cantSplit/>
          <w:tblHeader/>
        </w:trPr>
        <w:tc>
          <w:tcPr>
            <w:tcW w:w="2137" w:type="dxa"/>
            <w:tcBorders>
              <w:bottom w:val="single" w:sz="4" w:space="0" w:color="000000" w:themeColor="text1"/>
            </w:tcBorders>
            <w:shd w:val="clear" w:color="auto" w:fill="DBE5F1" w:themeFill="accent1" w:themeFillTint="33"/>
          </w:tcPr>
          <w:p w14:paraId="01C3729C" w14:textId="124B6694" w:rsidR="002669BA" w:rsidRPr="000A7A3D" w:rsidRDefault="002669BA" w:rsidP="00D22252">
            <w:pPr>
              <w:keepNext/>
              <w:keepLines/>
              <w:spacing w:before="120" w:after="120"/>
              <w:jc w:val="center"/>
              <w:rPr>
                <w:b/>
                <w:color w:val="000000" w:themeColor="text1"/>
                <w:sz w:val="16"/>
                <w:szCs w:val="16"/>
              </w:rPr>
            </w:pPr>
            <w:r w:rsidRPr="000A7A3D">
              <w:rPr>
                <w:b/>
                <w:color w:val="000000" w:themeColor="text1"/>
                <w:sz w:val="16"/>
                <w:szCs w:val="16"/>
              </w:rPr>
              <w:lastRenderedPageBreak/>
              <w:t>Substance</w:t>
            </w:r>
            <w:r w:rsidR="00C75BD7">
              <w:rPr>
                <w:b/>
                <w:color w:val="000000" w:themeColor="text1"/>
                <w:sz w:val="16"/>
                <w:szCs w:val="16"/>
              </w:rPr>
              <w:t>(s)</w:t>
            </w:r>
            <w:r w:rsidRPr="000A7A3D">
              <w:rPr>
                <w:b/>
                <w:color w:val="000000" w:themeColor="text1"/>
                <w:sz w:val="16"/>
                <w:szCs w:val="16"/>
                <w:vertAlign w:val="superscript"/>
              </w:rPr>
              <w:t>1</w:t>
            </w:r>
          </w:p>
        </w:tc>
        <w:tc>
          <w:tcPr>
            <w:tcW w:w="1350" w:type="dxa"/>
            <w:tcBorders>
              <w:bottom w:val="single" w:sz="4" w:space="0" w:color="000000" w:themeColor="text1"/>
            </w:tcBorders>
            <w:shd w:val="clear" w:color="auto" w:fill="DBE5F1" w:themeFill="accent1" w:themeFillTint="33"/>
          </w:tcPr>
          <w:p w14:paraId="01C3729D" w14:textId="77777777" w:rsidR="002669BA" w:rsidRPr="000A7A3D" w:rsidRDefault="002669BA" w:rsidP="00D22252">
            <w:pPr>
              <w:keepNext/>
              <w:keepLines/>
              <w:spacing w:before="120" w:after="120"/>
              <w:jc w:val="center"/>
              <w:rPr>
                <w:b/>
                <w:color w:val="000000" w:themeColor="text1"/>
                <w:sz w:val="16"/>
                <w:szCs w:val="16"/>
              </w:rPr>
            </w:pPr>
            <w:r w:rsidRPr="000A7A3D">
              <w:rPr>
                <w:b/>
                <w:color w:val="000000" w:themeColor="text1"/>
                <w:sz w:val="16"/>
                <w:szCs w:val="16"/>
              </w:rPr>
              <w:t>CAS No.</w:t>
            </w:r>
          </w:p>
        </w:tc>
        <w:tc>
          <w:tcPr>
            <w:tcW w:w="3621" w:type="dxa"/>
            <w:tcBorders>
              <w:bottom w:val="single" w:sz="4" w:space="0" w:color="000000" w:themeColor="text1"/>
            </w:tcBorders>
            <w:shd w:val="clear" w:color="auto" w:fill="DBE5F1" w:themeFill="accent1" w:themeFillTint="33"/>
          </w:tcPr>
          <w:p w14:paraId="01C3729E" w14:textId="77777777" w:rsidR="002669BA" w:rsidRPr="000A7A3D" w:rsidRDefault="002669BA" w:rsidP="00D22252">
            <w:pPr>
              <w:keepNext/>
              <w:keepLines/>
              <w:spacing w:before="120" w:after="120"/>
              <w:jc w:val="center"/>
              <w:rPr>
                <w:b/>
                <w:color w:val="000000" w:themeColor="text1"/>
                <w:sz w:val="16"/>
                <w:szCs w:val="16"/>
              </w:rPr>
            </w:pPr>
            <w:r w:rsidRPr="000A7A3D">
              <w:rPr>
                <w:b/>
                <w:color w:val="000000" w:themeColor="text1"/>
                <w:sz w:val="16"/>
                <w:szCs w:val="16"/>
              </w:rPr>
              <w:t>Requirement(s)</w:t>
            </w:r>
            <w:r w:rsidRPr="000A7A3D">
              <w:rPr>
                <w:b/>
                <w:color w:val="000000" w:themeColor="text1"/>
                <w:sz w:val="16"/>
                <w:szCs w:val="16"/>
                <w:vertAlign w:val="superscript"/>
              </w:rPr>
              <w:t>2</w:t>
            </w:r>
          </w:p>
        </w:tc>
        <w:tc>
          <w:tcPr>
            <w:tcW w:w="2432" w:type="dxa"/>
            <w:gridSpan w:val="2"/>
            <w:tcBorders>
              <w:bottom w:val="single" w:sz="4" w:space="0" w:color="000000" w:themeColor="text1"/>
            </w:tcBorders>
            <w:shd w:val="clear" w:color="auto" w:fill="DBE5F1" w:themeFill="accent1" w:themeFillTint="33"/>
          </w:tcPr>
          <w:p w14:paraId="01C3729F" w14:textId="7EA62EAF" w:rsidR="002669BA" w:rsidRPr="000A7A3D" w:rsidRDefault="002669BA" w:rsidP="00D22252">
            <w:pPr>
              <w:keepNext/>
              <w:keepLines/>
              <w:spacing w:before="120" w:after="120"/>
              <w:jc w:val="center"/>
              <w:rPr>
                <w:b/>
                <w:color w:val="000000" w:themeColor="text1"/>
                <w:sz w:val="16"/>
                <w:szCs w:val="16"/>
              </w:rPr>
            </w:pPr>
            <w:r w:rsidRPr="000A7A3D">
              <w:rPr>
                <w:b/>
                <w:color w:val="000000" w:themeColor="text1"/>
                <w:sz w:val="16"/>
                <w:szCs w:val="16"/>
              </w:rPr>
              <w:t>Reference(s)</w:t>
            </w:r>
            <w:r w:rsidRPr="000A7A3D">
              <w:rPr>
                <w:b/>
                <w:color w:val="000000" w:themeColor="text1"/>
                <w:sz w:val="16"/>
                <w:szCs w:val="16"/>
                <w:vertAlign w:val="superscript"/>
              </w:rPr>
              <w:t>3</w:t>
            </w:r>
          </w:p>
        </w:tc>
      </w:tr>
      <w:tr w:rsidR="003932EF" w:rsidRPr="009838CF" w14:paraId="01C372A5" w14:textId="77777777" w:rsidTr="006F364B">
        <w:tblPrEx>
          <w:jc w:val="center"/>
          <w:tblInd w:w="0" w:type="dxa"/>
          <w:tblCellMar>
            <w:left w:w="115" w:type="dxa"/>
            <w:right w:w="115" w:type="dxa"/>
          </w:tblCellMar>
        </w:tblPrEx>
        <w:trPr>
          <w:gridAfter w:val="1"/>
          <w:wAfter w:w="7" w:type="dxa"/>
          <w:cantSplit/>
          <w:jc w:val="center"/>
        </w:trPr>
        <w:tc>
          <w:tcPr>
            <w:tcW w:w="2146" w:type="dxa"/>
            <w:gridSpan w:val="2"/>
          </w:tcPr>
          <w:p w14:paraId="01C372A1" w14:textId="77777777" w:rsidR="004C6A29" w:rsidRPr="00E5181A" w:rsidRDefault="00080143" w:rsidP="00D22252">
            <w:pPr>
              <w:keepNext/>
              <w:keepLines/>
              <w:spacing w:before="120" w:after="120"/>
              <w:rPr>
                <w:color w:val="000000" w:themeColor="text1"/>
                <w:sz w:val="16"/>
                <w:szCs w:val="16"/>
              </w:rPr>
            </w:pPr>
            <w:r w:rsidRPr="00E5181A">
              <w:rPr>
                <w:color w:val="000000" w:themeColor="text1"/>
                <w:sz w:val="16"/>
                <w:szCs w:val="16"/>
              </w:rPr>
              <w:t>Antimony and Antimony Compounds</w:t>
            </w:r>
          </w:p>
        </w:tc>
        <w:tc>
          <w:tcPr>
            <w:tcW w:w="1350" w:type="dxa"/>
          </w:tcPr>
          <w:p w14:paraId="01C372A2" w14:textId="77777777" w:rsidR="004C6A29" w:rsidRPr="00E5181A" w:rsidRDefault="00080143" w:rsidP="00D22252">
            <w:pPr>
              <w:keepNext/>
              <w:keepLines/>
              <w:spacing w:before="120" w:after="120"/>
              <w:jc w:val="center"/>
              <w:rPr>
                <w:color w:val="000000" w:themeColor="text1"/>
                <w:sz w:val="16"/>
                <w:szCs w:val="16"/>
              </w:rPr>
            </w:pPr>
            <w:r w:rsidRPr="00E5181A">
              <w:rPr>
                <w:color w:val="000000" w:themeColor="text1"/>
                <w:sz w:val="16"/>
                <w:szCs w:val="16"/>
              </w:rPr>
              <w:t>7440-36-0 and others</w:t>
            </w:r>
          </w:p>
        </w:tc>
        <w:tc>
          <w:tcPr>
            <w:tcW w:w="3621" w:type="dxa"/>
          </w:tcPr>
          <w:p w14:paraId="01C372A3" w14:textId="558C32BA" w:rsidR="00080143" w:rsidRPr="0065770F" w:rsidRDefault="00080143" w:rsidP="00D22252">
            <w:pPr>
              <w:spacing w:before="120" w:after="120"/>
              <w:rPr>
                <w:sz w:val="16"/>
              </w:rPr>
            </w:pPr>
            <w:r w:rsidRPr="0065770F">
              <w:rPr>
                <w:sz w:val="16"/>
              </w:rPr>
              <w:t>Default reporting threshold of 0</w:t>
            </w:r>
            <w:r w:rsidR="001F4F0D">
              <w:rPr>
                <w:sz w:val="16"/>
              </w:rPr>
              <w:t xml:space="preserve">.1% (1000 ppm) by weight in </w:t>
            </w:r>
            <w:r w:rsidRPr="0065770F">
              <w:rPr>
                <w:sz w:val="16"/>
              </w:rPr>
              <w:t>article</w:t>
            </w:r>
            <w:r w:rsidR="001F4F0D">
              <w:rPr>
                <w:sz w:val="16"/>
              </w:rPr>
              <w:t>s</w:t>
            </w:r>
            <w:r w:rsidR="006B1F43">
              <w:rPr>
                <w:sz w:val="16"/>
              </w:rPr>
              <w:t>.</w:t>
            </w:r>
          </w:p>
        </w:tc>
        <w:tc>
          <w:tcPr>
            <w:tcW w:w="2425" w:type="dxa"/>
          </w:tcPr>
          <w:p w14:paraId="01C372A4" w14:textId="77777777" w:rsidR="004C6A29" w:rsidRPr="00E5181A" w:rsidRDefault="00080143" w:rsidP="00D22252">
            <w:pPr>
              <w:pStyle w:val="sBullet"/>
              <w:numPr>
                <w:ilvl w:val="0"/>
                <w:numId w:val="0"/>
              </w:numPr>
              <w:spacing w:before="120" w:after="120"/>
              <w:ind w:left="-20"/>
              <w:contextualSpacing w:val="0"/>
            </w:pPr>
            <w:r w:rsidRPr="00E5181A">
              <w:t>General Industry Concern</w:t>
            </w:r>
          </w:p>
        </w:tc>
      </w:tr>
      <w:tr w:rsidR="003932EF" w:rsidRPr="009838CF" w14:paraId="01C372AC" w14:textId="77777777" w:rsidTr="006F364B">
        <w:tblPrEx>
          <w:jc w:val="center"/>
          <w:tblInd w:w="0" w:type="dxa"/>
          <w:tblCellMar>
            <w:left w:w="115" w:type="dxa"/>
            <w:right w:w="115" w:type="dxa"/>
          </w:tblCellMar>
        </w:tblPrEx>
        <w:trPr>
          <w:gridAfter w:val="1"/>
          <w:wAfter w:w="7" w:type="dxa"/>
          <w:cantSplit/>
          <w:jc w:val="center"/>
        </w:trPr>
        <w:tc>
          <w:tcPr>
            <w:tcW w:w="2146" w:type="dxa"/>
            <w:gridSpan w:val="2"/>
          </w:tcPr>
          <w:p w14:paraId="01C372A6" w14:textId="77777777" w:rsidR="009838CF" w:rsidRPr="00E5181A" w:rsidRDefault="009838CF" w:rsidP="00D22252">
            <w:pPr>
              <w:keepNext/>
              <w:keepLines/>
              <w:spacing w:before="120" w:after="120"/>
              <w:rPr>
                <w:color w:val="000000" w:themeColor="text1"/>
                <w:sz w:val="16"/>
                <w:szCs w:val="16"/>
              </w:rPr>
            </w:pPr>
            <w:r w:rsidRPr="00E5181A">
              <w:rPr>
                <w:color w:val="000000" w:themeColor="text1"/>
                <w:sz w:val="16"/>
                <w:szCs w:val="16"/>
              </w:rPr>
              <w:t>Arsenic and Arsenic Compounds</w:t>
            </w:r>
          </w:p>
        </w:tc>
        <w:tc>
          <w:tcPr>
            <w:tcW w:w="1350" w:type="dxa"/>
          </w:tcPr>
          <w:p w14:paraId="01C372A7" w14:textId="77777777" w:rsidR="009838CF" w:rsidRPr="00E5181A" w:rsidRDefault="009838CF" w:rsidP="00D22252">
            <w:pPr>
              <w:keepNext/>
              <w:keepLines/>
              <w:spacing w:before="120" w:after="120"/>
              <w:jc w:val="center"/>
              <w:rPr>
                <w:color w:val="000000" w:themeColor="text1"/>
                <w:sz w:val="16"/>
                <w:szCs w:val="16"/>
              </w:rPr>
            </w:pPr>
            <w:r w:rsidRPr="00E5181A">
              <w:rPr>
                <w:color w:val="000000" w:themeColor="text1"/>
                <w:sz w:val="16"/>
                <w:szCs w:val="16"/>
              </w:rPr>
              <w:t>7440-38-2 and others</w:t>
            </w:r>
          </w:p>
        </w:tc>
        <w:tc>
          <w:tcPr>
            <w:tcW w:w="3621" w:type="dxa"/>
          </w:tcPr>
          <w:p w14:paraId="01C372A8" w14:textId="77777777" w:rsidR="0047333F" w:rsidRDefault="009838CF" w:rsidP="00D22252">
            <w:pPr>
              <w:pStyle w:val="sBullet"/>
              <w:numPr>
                <w:ilvl w:val="0"/>
                <w:numId w:val="0"/>
              </w:numPr>
              <w:spacing w:before="120" w:after="120"/>
              <w:ind w:left="-22"/>
              <w:contextualSpacing w:val="0"/>
            </w:pPr>
            <w:r w:rsidRPr="00E5181A">
              <w:t>Use to be avoided</w:t>
            </w:r>
            <w:r w:rsidR="00664E52" w:rsidRPr="00E5181A">
              <w:t>, particularly in wood products and paint</w:t>
            </w:r>
            <w:r w:rsidRPr="00E5181A">
              <w:t>.</w:t>
            </w:r>
            <w:r w:rsidR="00664E52" w:rsidRPr="00E5181A">
              <w:t xml:space="preserve"> </w:t>
            </w:r>
          </w:p>
          <w:p w14:paraId="01C372A9" w14:textId="77777777" w:rsidR="00081DEF" w:rsidRPr="00E5181A" w:rsidRDefault="00664E52" w:rsidP="00D22252">
            <w:pPr>
              <w:pStyle w:val="sBullet"/>
              <w:numPr>
                <w:ilvl w:val="0"/>
                <w:numId w:val="0"/>
              </w:numPr>
              <w:spacing w:before="120" w:after="120"/>
              <w:ind w:left="-22"/>
              <w:contextualSpacing w:val="0"/>
            </w:pPr>
            <w:r w:rsidRPr="00E5181A">
              <w:t>Default reporting threshold of 0.1% (1000 ppm) by weight in articles.</w:t>
            </w:r>
            <w:r w:rsidR="0047333F">
              <w:t xml:space="preserve"> </w:t>
            </w:r>
          </w:p>
        </w:tc>
        <w:tc>
          <w:tcPr>
            <w:tcW w:w="2425" w:type="dxa"/>
          </w:tcPr>
          <w:p w14:paraId="01C372AA" w14:textId="00486F5B" w:rsidR="009838CF" w:rsidRPr="00E5181A" w:rsidRDefault="009838CF" w:rsidP="00D22252">
            <w:pPr>
              <w:pStyle w:val="sBullet"/>
              <w:numPr>
                <w:ilvl w:val="0"/>
                <w:numId w:val="0"/>
              </w:numPr>
              <w:spacing w:before="120" w:after="120"/>
              <w:ind w:left="-20"/>
              <w:contextualSpacing w:val="0"/>
            </w:pPr>
            <w:r w:rsidRPr="00E5181A">
              <w:t xml:space="preserve">EU – Regulation EC 1907/2006 </w:t>
            </w:r>
            <w:r w:rsidR="00380FE2">
              <w:t xml:space="preserve">Annex 17 </w:t>
            </w:r>
            <w:r w:rsidRPr="00E5181A">
              <w:t>and its amendments</w:t>
            </w:r>
          </w:p>
          <w:p w14:paraId="01C372AB" w14:textId="77777777" w:rsidR="009838CF" w:rsidRPr="00E5181A" w:rsidRDefault="009838CF" w:rsidP="00D22252">
            <w:pPr>
              <w:pStyle w:val="sBullet"/>
              <w:numPr>
                <w:ilvl w:val="0"/>
                <w:numId w:val="0"/>
              </w:numPr>
              <w:spacing w:before="120" w:after="120"/>
              <w:ind w:left="-20"/>
              <w:contextualSpacing w:val="0"/>
            </w:pPr>
            <w:r w:rsidRPr="00E5181A">
              <w:t>Switzerland – Ordinance on Risk Reduction related to Chemical Products (</w:t>
            </w:r>
            <w:proofErr w:type="spellStart"/>
            <w:r w:rsidRPr="00E5181A">
              <w:t>ORRChem</w:t>
            </w:r>
            <w:proofErr w:type="spellEnd"/>
            <w:r w:rsidRPr="00E5181A">
              <w:t>)</w:t>
            </w:r>
          </w:p>
        </w:tc>
      </w:tr>
      <w:tr w:rsidR="003932EF" w:rsidRPr="002669BA" w14:paraId="01C372B6" w14:textId="77777777" w:rsidTr="006F364B">
        <w:tblPrEx>
          <w:jc w:val="center"/>
          <w:tblInd w:w="0" w:type="dxa"/>
          <w:tblCellMar>
            <w:left w:w="115" w:type="dxa"/>
            <w:right w:w="115" w:type="dxa"/>
          </w:tblCellMar>
        </w:tblPrEx>
        <w:trPr>
          <w:gridAfter w:val="1"/>
          <w:wAfter w:w="7" w:type="dxa"/>
          <w:cantSplit/>
          <w:jc w:val="center"/>
        </w:trPr>
        <w:tc>
          <w:tcPr>
            <w:tcW w:w="2146" w:type="dxa"/>
            <w:gridSpan w:val="2"/>
          </w:tcPr>
          <w:p w14:paraId="01C372AD" w14:textId="77777777" w:rsidR="002669BA" w:rsidRPr="00E5181A" w:rsidRDefault="002669BA" w:rsidP="00D22252">
            <w:pPr>
              <w:keepNext/>
              <w:keepLines/>
              <w:spacing w:before="120" w:after="120"/>
              <w:rPr>
                <w:color w:val="000000" w:themeColor="text1"/>
                <w:sz w:val="16"/>
                <w:szCs w:val="16"/>
              </w:rPr>
            </w:pPr>
            <w:r w:rsidRPr="00E5181A">
              <w:rPr>
                <w:color w:val="000000" w:themeColor="text1"/>
                <w:sz w:val="16"/>
                <w:szCs w:val="16"/>
              </w:rPr>
              <w:t>Asbestos and Asbestos Materials</w:t>
            </w:r>
          </w:p>
        </w:tc>
        <w:tc>
          <w:tcPr>
            <w:tcW w:w="1350" w:type="dxa"/>
          </w:tcPr>
          <w:p w14:paraId="01C372AE" w14:textId="77777777" w:rsidR="002669BA" w:rsidRPr="00E5181A" w:rsidRDefault="002669BA" w:rsidP="00D22252">
            <w:pPr>
              <w:keepNext/>
              <w:keepLines/>
              <w:spacing w:before="120" w:after="120"/>
              <w:jc w:val="center"/>
              <w:rPr>
                <w:color w:val="000000" w:themeColor="text1"/>
                <w:sz w:val="16"/>
                <w:szCs w:val="16"/>
              </w:rPr>
            </w:pPr>
            <w:r w:rsidRPr="00E5181A">
              <w:rPr>
                <w:color w:val="000000" w:themeColor="text1"/>
                <w:sz w:val="16"/>
                <w:szCs w:val="16"/>
              </w:rPr>
              <w:t>1332-21-4 and others</w:t>
            </w:r>
          </w:p>
        </w:tc>
        <w:tc>
          <w:tcPr>
            <w:tcW w:w="3621" w:type="dxa"/>
          </w:tcPr>
          <w:p w14:paraId="01C372AF" w14:textId="77777777" w:rsidR="0047333F" w:rsidRDefault="002669BA" w:rsidP="00D22252">
            <w:pPr>
              <w:pStyle w:val="sBullet"/>
              <w:numPr>
                <w:ilvl w:val="0"/>
                <w:numId w:val="0"/>
              </w:numPr>
              <w:spacing w:before="120" w:after="120"/>
              <w:ind w:left="-22"/>
              <w:contextualSpacing w:val="0"/>
            </w:pPr>
            <w:r w:rsidRPr="00E5181A">
              <w:t>The manufac</w:t>
            </w:r>
            <w:r w:rsidR="0047333F">
              <w:t xml:space="preserve">ture, placing on the market and </w:t>
            </w:r>
            <w:r w:rsidRPr="00E5181A">
              <w:t xml:space="preserve">use of these fibers and of articles containing these fibers added intentionally is prohibited. </w:t>
            </w:r>
          </w:p>
          <w:p w14:paraId="01C372B0" w14:textId="77777777" w:rsidR="009838CF" w:rsidRPr="00E5181A" w:rsidRDefault="002669BA" w:rsidP="00D22252">
            <w:pPr>
              <w:pStyle w:val="sBullet"/>
              <w:numPr>
                <w:ilvl w:val="0"/>
                <w:numId w:val="0"/>
              </w:numPr>
              <w:spacing w:before="120" w:after="120"/>
              <w:ind w:left="-22"/>
              <w:contextualSpacing w:val="0"/>
            </w:pPr>
            <w:r w:rsidRPr="00E5181A">
              <w:t>Report any content.</w:t>
            </w:r>
            <w:r w:rsidR="0047333F">
              <w:t xml:space="preserve"> </w:t>
            </w:r>
          </w:p>
        </w:tc>
        <w:tc>
          <w:tcPr>
            <w:tcW w:w="2425" w:type="dxa"/>
          </w:tcPr>
          <w:p w14:paraId="01C372B1" w14:textId="349E2D25" w:rsidR="002669BA" w:rsidRPr="00E5181A" w:rsidRDefault="002669BA" w:rsidP="00D22252">
            <w:pPr>
              <w:pStyle w:val="sBullet"/>
              <w:numPr>
                <w:ilvl w:val="0"/>
                <w:numId w:val="0"/>
              </w:numPr>
              <w:spacing w:before="120" w:after="120"/>
              <w:ind w:left="-20"/>
              <w:contextualSpacing w:val="0"/>
            </w:pPr>
            <w:r w:rsidRPr="00E5181A">
              <w:t xml:space="preserve">EU – Regulation EC 1907/2006 </w:t>
            </w:r>
            <w:r w:rsidR="00380FE2" w:rsidRPr="00380FE2">
              <w:t xml:space="preserve">Annex 17 </w:t>
            </w:r>
            <w:r w:rsidRPr="00E5181A">
              <w:t>and its amendments</w:t>
            </w:r>
          </w:p>
          <w:p w14:paraId="01C372B2" w14:textId="77777777" w:rsidR="002669BA" w:rsidRPr="00E5181A" w:rsidRDefault="002669BA" w:rsidP="00D22252">
            <w:pPr>
              <w:pStyle w:val="sBullet"/>
              <w:numPr>
                <w:ilvl w:val="0"/>
                <w:numId w:val="0"/>
              </w:numPr>
              <w:spacing w:before="120" w:after="120"/>
              <w:ind w:left="-20"/>
              <w:contextualSpacing w:val="0"/>
            </w:pPr>
            <w:r w:rsidRPr="00E5181A">
              <w:t>Japan – Industrial Safety and Health Law</w:t>
            </w:r>
          </w:p>
          <w:p w14:paraId="01C372B3" w14:textId="77777777" w:rsidR="002669BA" w:rsidRPr="00E5181A" w:rsidRDefault="002669BA" w:rsidP="00D22252">
            <w:pPr>
              <w:pStyle w:val="sBullet"/>
              <w:numPr>
                <w:ilvl w:val="0"/>
                <w:numId w:val="0"/>
              </w:numPr>
              <w:spacing w:before="120" w:after="120"/>
              <w:ind w:left="-20"/>
              <w:contextualSpacing w:val="0"/>
            </w:pPr>
            <w:r w:rsidRPr="00E5181A">
              <w:t>Germany – Chemicals Prohibition Ordinance (</w:t>
            </w:r>
            <w:proofErr w:type="spellStart"/>
            <w:r w:rsidRPr="00E5181A">
              <w:t>ChemVerbotsV</w:t>
            </w:r>
            <w:proofErr w:type="spellEnd"/>
            <w:r w:rsidRPr="00E5181A">
              <w:t>)</w:t>
            </w:r>
          </w:p>
          <w:p w14:paraId="01C372B4" w14:textId="77777777" w:rsidR="002669BA" w:rsidRPr="00E5181A" w:rsidRDefault="002669BA" w:rsidP="00D22252">
            <w:pPr>
              <w:pStyle w:val="sBullet"/>
              <w:numPr>
                <w:ilvl w:val="0"/>
                <w:numId w:val="0"/>
              </w:numPr>
              <w:spacing w:before="120" w:after="120"/>
              <w:ind w:left="-20"/>
              <w:contextualSpacing w:val="0"/>
            </w:pPr>
            <w:r w:rsidRPr="00E5181A">
              <w:t>Switzerland – Ordinance on Risk Reduction related to Chemical Products (</w:t>
            </w:r>
            <w:proofErr w:type="spellStart"/>
            <w:r w:rsidRPr="00E5181A">
              <w:t>ORRChem</w:t>
            </w:r>
            <w:proofErr w:type="spellEnd"/>
            <w:r w:rsidRPr="00E5181A">
              <w:t>)</w:t>
            </w:r>
          </w:p>
          <w:p w14:paraId="01C372B5" w14:textId="77777777" w:rsidR="002669BA" w:rsidRPr="0038743A" w:rsidRDefault="002669BA" w:rsidP="0038743A">
            <w:pPr>
              <w:pStyle w:val="sBullet"/>
              <w:numPr>
                <w:ilvl w:val="0"/>
                <w:numId w:val="0"/>
              </w:numPr>
              <w:spacing w:before="120" w:after="120"/>
              <w:ind w:left="-20"/>
              <w:contextualSpacing w:val="0"/>
            </w:pPr>
            <w:r w:rsidRPr="00E5181A">
              <w:t>USA- Toxic Substance Control Act, Occupational Safety and Health Act (29 CFR 1910.1001-1051)</w:t>
            </w:r>
          </w:p>
        </w:tc>
      </w:tr>
      <w:tr w:rsidR="003932EF" w:rsidRPr="009466F7" w14:paraId="01C372C1" w14:textId="77777777" w:rsidTr="006F364B">
        <w:trPr>
          <w:gridBefore w:val="1"/>
          <w:wBefore w:w="9" w:type="dxa"/>
          <w:cantSplit/>
        </w:trPr>
        <w:tc>
          <w:tcPr>
            <w:tcW w:w="2137" w:type="dxa"/>
          </w:tcPr>
          <w:p w14:paraId="01C372B7" w14:textId="77777777" w:rsidR="009466F7" w:rsidRPr="00E5181A" w:rsidRDefault="009466F7" w:rsidP="00D22252">
            <w:pPr>
              <w:keepNext/>
              <w:keepLines/>
              <w:spacing w:before="120" w:after="120"/>
              <w:rPr>
                <w:color w:val="000000" w:themeColor="text1"/>
                <w:sz w:val="16"/>
                <w:szCs w:val="16"/>
              </w:rPr>
            </w:pPr>
            <w:r w:rsidRPr="00E5181A">
              <w:rPr>
                <w:color w:val="000000" w:themeColor="text1"/>
                <w:sz w:val="16"/>
                <w:szCs w:val="16"/>
              </w:rPr>
              <w:t>Azo Compounds (colorants)</w:t>
            </w:r>
          </w:p>
        </w:tc>
        <w:tc>
          <w:tcPr>
            <w:tcW w:w="1350" w:type="dxa"/>
          </w:tcPr>
          <w:p w14:paraId="01C372B8" w14:textId="77777777" w:rsidR="009466F7" w:rsidRPr="00E5181A" w:rsidRDefault="009466F7" w:rsidP="00D22252">
            <w:pPr>
              <w:keepNext/>
              <w:keepLines/>
              <w:spacing w:before="120" w:after="120"/>
              <w:jc w:val="center"/>
              <w:rPr>
                <w:color w:val="000000" w:themeColor="text1"/>
                <w:sz w:val="16"/>
                <w:szCs w:val="16"/>
              </w:rPr>
            </w:pPr>
            <w:r w:rsidRPr="00E5181A">
              <w:rPr>
                <w:color w:val="000000" w:themeColor="text1"/>
                <w:sz w:val="16"/>
                <w:szCs w:val="16"/>
              </w:rPr>
              <w:t>See references</w:t>
            </w:r>
          </w:p>
        </w:tc>
        <w:tc>
          <w:tcPr>
            <w:tcW w:w="3621" w:type="dxa"/>
          </w:tcPr>
          <w:p w14:paraId="01C372B9" w14:textId="77777777" w:rsidR="009838CF" w:rsidRPr="006B1F43" w:rsidRDefault="009466F7" w:rsidP="00D22252">
            <w:pPr>
              <w:tabs>
                <w:tab w:val="left" w:pos="87"/>
              </w:tabs>
              <w:spacing w:before="120" w:after="120"/>
              <w:ind w:left="-3"/>
              <w:rPr>
                <w:color w:val="000000" w:themeColor="text1"/>
                <w:sz w:val="16"/>
                <w:szCs w:val="16"/>
              </w:rPr>
            </w:pPr>
            <w:r w:rsidRPr="0065770F">
              <w:rPr>
                <w:sz w:val="16"/>
                <w:szCs w:val="16"/>
              </w:rPr>
              <w:t xml:space="preserve">Specified azo colorants </w:t>
            </w:r>
            <w:r w:rsidR="0099576C">
              <w:rPr>
                <w:sz w:val="16"/>
                <w:szCs w:val="16"/>
              </w:rPr>
              <w:t xml:space="preserve">(and specified chemicals </w:t>
            </w:r>
            <w:r w:rsidR="00AC4724">
              <w:rPr>
                <w:sz w:val="16"/>
                <w:szCs w:val="16"/>
              </w:rPr>
              <w:t>used in their manufacturing</w:t>
            </w:r>
            <w:r w:rsidR="0099576C">
              <w:rPr>
                <w:sz w:val="16"/>
                <w:szCs w:val="16"/>
              </w:rPr>
              <w:t xml:space="preserve">) </w:t>
            </w:r>
            <w:r w:rsidRPr="0065770F">
              <w:rPr>
                <w:sz w:val="16"/>
                <w:szCs w:val="16"/>
              </w:rPr>
              <w:t>must not be present in products (made from textiles or leather) where they may release the aromatic amines listed in appendix 8 of Regulation EC 1907/2006) in concentrations greater than or equal to 0.003% (30 ppm) by weight in any homogeneous material, where the substance may come in prolonged direct contact with exposed skin.</w:t>
            </w:r>
          </w:p>
          <w:p w14:paraId="01C372BA" w14:textId="77777777" w:rsidR="009838CF" w:rsidRPr="0047333F" w:rsidRDefault="009838CF" w:rsidP="00D22252">
            <w:pPr>
              <w:keepNext/>
              <w:keepLines/>
              <w:spacing w:before="120" w:after="120"/>
              <w:ind w:left="-3"/>
              <w:rPr>
                <w:color w:val="000000" w:themeColor="text1"/>
                <w:sz w:val="16"/>
                <w:szCs w:val="16"/>
              </w:rPr>
            </w:pPr>
          </w:p>
          <w:p w14:paraId="01C372BB" w14:textId="77777777" w:rsidR="009838CF" w:rsidRPr="0047333F" w:rsidRDefault="009838CF" w:rsidP="00D22252">
            <w:pPr>
              <w:keepNext/>
              <w:keepLines/>
              <w:spacing w:before="120" w:after="120"/>
              <w:ind w:left="-3"/>
              <w:rPr>
                <w:color w:val="000000" w:themeColor="text1"/>
                <w:sz w:val="16"/>
                <w:szCs w:val="16"/>
              </w:rPr>
            </w:pPr>
          </w:p>
        </w:tc>
        <w:tc>
          <w:tcPr>
            <w:tcW w:w="2432" w:type="dxa"/>
            <w:gridSpan w:val="2"/>
          </w:tcPr>
          <w:p w14:paraId="01C372BC" w14:textId="0B359502" w:rsidR="009466F7" w:rsidRPr="00E5181A" w:rsidRDefault="009466F7" w:rsidP="00D22252">
            <w:pPr>
              <w:pStyle w:val="sBullet"/>
              <w:numPr>
                <w:ilvl w:val="0"/>
                <w:numId w:val="0"/>
              </w:numPr>
              <w:spacing w:before="120" w:after="120"/>
              <w:ind w:left="-1"/>
              <w:contextualSpacing w:val="0"/>
            </w:pPr>
            <w:r w:rsidRPr="00E5181A">
              <w:t xml:space="preserve">EU – Regulation EC 1907/2006 </w:t>
            </w:r>
            <w:r w:rsidR="00380FE2" w:rsidRPr="00380FE2">
              <w:t xml:space="preserve">Annex 17 </w:t>
            </w:r>
            <w:r w:rsidRPr="00E5181A">
              <w:t>and its amendments</w:t>
            </w:r>
          </w:p>
          <w:p w14:paraId="01C372BD" w14:textId="77777777" w:rsidR="009466F7" w:rsidRPr="00E5181A" w:rsidRDefault="009466F7" w:rsidP="00D22252">
            <w:pPr>
              <w:pStyle w:val="sBullet"/>
              <w:numPr>
                <w:ilvl w:val="0"/>
                <w:numId w:val="0"/>
              </w:numPr>
              <w:spacing w:before="120" w:after="120"/>
              <w:ind w:left="-1"/>
              <w:contextualSpacing w:val="0"/>
            </w:pPr>
            <w:r w:rsidRPr="00E5181A">
              <w:t>Japan – Industrial Safety and Health Law</w:t>
            </w:r>
          </w:p>
          <w:p w14:paraId="01C372BE" w14:textId="77777777" w:rsidR="009466F7" w:rsidRPr="00E5181A" w:rsidRDefault="009466F7" w:rsidP="00D22252">
            <w:pPr>
              <w:pStyle w:val="sBullet"/>
              <w:numPr>
                <w:ilvl w:val="0"/>
                <w:numId w:val="0"/>
              </w:numPr>
              <w:spacing w:before="120" w:after="120"/>
              <w:ind w:left="-1"/>
              <w:contextualSpacing w:val="0"/>
            </w:pPr>
            <w:r w:rsidRPr="00E5181A">
              <w:t>Germany – Chemicals Prohibition Ordinance (</w:t>
            </w:r>
            <w:proofErr w:type="spellStart"/>
            <w:r w:rsidRPr="00E5181A">
              <w:t>ChemVerbotsV</w:t>
            </w:r>
            <w:proofErr w:type="spellEnd"/>
            <w:r w:rsidRPr="00E5181A">
              <w:t>)</w:t>
            </w:r>
          </w:p>
          <w:p w14:paraId="01C372BF" w14:textId="77777777" w:rsidR="009466F7" w:rsidRPr="00E5181A" w:rsidRDefault="009466F7" w:rsidP="00D22252">
            <w:pPr>
              <w:pStyle w:val="sBullet"/>
              <w:numPr>
                <w:ilvl w:val="0"/>
                <w:numId w:val="0"/>
              </w:numPr>
              <w:spacing w:before="120" w:after="120"/>
              <w:ind w:left="-1"/>
              <w:contextualSpacing w:val="0"/>
            </w:pPr>
            <w:r w:rsidRPr="00E5181A">
              <w:t>Switzerland – Ordinance on Risk Reduction related to Chemical Products (</w:t>
            </w:r>
            <w:proofErr w:type="spellStart"/>
            <w:r w:rsidRPr="00E5181A">
              <w:t>ORRChem</w:t>
            </w:r>
            <w:proofErr w:type="spellEnd"/>
            <w:r w:rsidRPr="00E5181A">
              <w:t>)</w:t>
            </w:r>
          </w:p>
          <w:p w14:paraId="01C372C0" w14:textId="77777777" w:rsidR="009466F7" w:rsidRPr="0038743A" w:rsidRDefault="009466F7" w:rsidP="0038743A">
            <w:pPr>
              <w:pStyle w:val="sBullet"/>
              <w:numPr>
                <w:ilvl w:val="0"/>
                <w:numId w:val="0"/>
              </w:numPr>
              <w:spacing w:before="120" w:after="120"/>
              <w:ind w:left="-1"/>
              <w:contextualSpacing w:val="0"/>
            </w:pPr>
            <w:r w:rsidRPr="00E5181A">
              <w:t>USA- Toxic Substance Control Act, Occupational Safety and Health Act (29 CFR 1910.1001-1051)</w:t>
            </w:r>
          </w:p>
        </w:tc>
      </w:tr>
      <w:tr w:rsidR="004708BD" w:rsidRPr="00BA64FA" w14:paraId="01C372C8" w14:textId="77777777" w:rsidTr="006F364B">
        <w:trPr>
          <w:gridBefore w:val="1"/>
          <w:wBefore w:w="9" w:type="dxa"/>
          <w:cantSplit/>
        </w:trPr>
        <w:tc>
          <w:tcPr>
            <w:tcW w:w="2137" w:type="dxa"/>
          </w:tcPr>
          <w:p w14:paraId="01C372C2" w14:textId="77777777" w:rsidR="004708BD" w:rsidRPr="00BA64FA" w:rsidRDefault="004708BD" w:rsidP="00A94F83">
            <w:pPr>
              <w:keepNext/>
              <w:keepLines/>
              <w:spacing w:before="120" w:after="120"/>
              <w:rPr>
                <w:color w:val="000000" w:themeColor="text1"/>
                <w:sz w:val="16"/>
                <w:szCs w:val="16"/>
              </w:rPr>
            </w:pPr>
            <w:r>
              <w:rPr>
                <w:color w:val="000000" w:themeColor="text1"/>
                <w:sz w:val="16"/>
                <w:szCs w:val="16"/>
              </w:rPr>
              <w:t>Benzene</w:t>
            </w:r>
          </w:p>
        </w:tc>
        <w:tc>
          <w:tcPr>
            <w:tcW w:w="1350" w:type="dxa"/>
          </w:tcPr>
          <w:p w14:paraId="01C372C3" w14:textId="77777777" w:rsidR="004708BD" w:rsidRPr="00BA64FA" w:rsidRDefault="004708BD" w:rsidP="00A94F83">
            <w:pPr>
              <w:keepNext/>
              <w:keepLines/>
              <w:spacing w:before="120" w:after="120"/>
              <w:jc w:val="center"/>
              <w:rPr>
                <w:color w:val="000000" w:themeColor="text1"/>
                <w:sz w:val="16"/>
                <w:szCs w:val="16"/>
              </w:rPr>
            </w:pPr>
            <w:r w:rsidRPr="00BA64FA">
              <w:rPr>
                <w:color w:val="000000" w:themeColor="text1"/>
                <w:sz w:val="16"/>
                <w:szCs w:val="16"/>
              </w:rPr>
              <w:t>71-43-2</w:t>
            </w:r>
          </w:p>
        </w:tc>
        <w:tc>
          <w:tcPr>
            <w:tcW w:w="3621" w:type="dxa"/>
          </w:tcPr>
          <w:p w14:paraId="01C372C4" w14:textId="77777777" w:rsidR="004708BD" w:rsidRDefault="004708BD" w:rsidP="00A94F83">
            <w:pPr>
              <w:keepNext/>
              <w:keepLines/>
              <w:spacing w:before="120" w:after="120"/>
              <w:rPr>
                <w:color w:val="000000" w:themeColor="text1"/>
                <w:sz w:val="16"/>
                <w:szCs w:val="16"/>
              </w:rPr>
            </w:pPr>
            <w:r>
              <w:rPr>
                <w:color w:val="000000" w:themeColor="text1"/>
                <w:sz w:val="16"/>
                <w:szCs w:val="16"/>
              </w:rPr>
              <w:t>Not to be used in concentrations greater than 0.1% in substances placed on the market.</w:t>
            </w:r>
          </w:p>
          <w:p w14:paraId="01C372C5" w14:textId="77777777" w:rsidR="004708BD" w:rsidRPr="00BA64FA" w:rsidRDefault="004708BD" w:rsidP="00A94F83">
            <w:pPr>
              <w:keepNext/>
              <w:keepLines/>
              <w:spacing w:before="120" w:after="120"/>
              <w:rPr>
                <w:color w:val="000000" w:themeColor="text1"/>
                <w:sz w:val="16"/>
                <w:szCs w:val="16"/>
              </w:rPr>
            </w:pPr>
            <w:r w:rsidRPr="00BA64FA">
              <w:rPr>
                <w:color w:val="000000" w:themeColor="text1"/>
                <w:sz w:val="16"/>
                <w:szCs w:val="16"/>
              </w:rPr>
              <w:t xml:space="preserve">Not to be used </w:t>
            </w:r>
            <w:r>
              <w:rPr>
                <w:color w:val="000000" w:themeColor="text1"/>
                <w:sz w:val="16"/>
                <w:szCs w:val="16"/>
              </w:rPr>
              <w:t xml:space="preserve">in rubber cement </w:t>
            </w:r>
            <w:r w:rsidRPr="00BA64FA">
              <w:rPr>
                <w:color w:val="000000" w:themeColor="text1"/>
                <w:sz w:val="16"/>
                <w:szCs w:val="16"/>
              </w:rPr>
              <w:t>where the benzene accounts for more than 5% of the rubber cement solvent (including diluting agent)</w:t>
            </w:r>
          </w:p>
        </w:tc>
        <w:tc>
          <w:tcPr>
            <w:tcW w:w="2432" w:type="dxa"/>
            <w:gridSpan w:val="2"/>
          </w:tcPr>
          <w:p w14:paraId="01C372C6" w14:textId="141DB2BF" w:rsidR="004708BD" w:rsidRPr="00E5181A" w:rsidRDefault="004708BD" w:rsidP="004708BD">
            <w:pPr>
              <w:pStyle w:val="sBullet"/>
              <w:numPr>
                <w:ilvl w:val="0"/>
                <w:numId w:val="0"/>
              </w:numPr>
              <w:spacing w:before="120" w:after="120"/>
              <w:ind w:left="-1"/>
              <w:contextualSpacing w:val="0"/>
            </w:pPr>
            <w:r w:rsidRPr="00E5181A">
              <w:t xml:space="preserve">EU – Regulation EC 1907/2006 </w:t>
            </w:r>
            <w:r w:rsidR="00380FE2" w:rsidRPr="00380FE2">
              <w:t xml:space="preserve">Annex 17 </w:t>
            </w:r>
            <w:r w:rsidRPr="00E5181A">
              <w:t>and its amendments</w:t>
            </w:r>
          </w:p>
          <w:p w14:paraId="01C372C7" w14:textId="77777777" w:rsidR="004708BD" w:rsidRPr="00BA64FA" w:rsidRDefault="004708BD" w:rsidP="00A94F83">
            <w:pPr>
              <w:keepNext/>
              <w:keepLines/>
              <w:spacing w:before="120" w:after="120"/>
              <w:rPr>
                <w:color w:val="000000" w:themeColor="text1"/>
                <w:sz w:val="16"/>
                <w:szCs w:val="16"/>
              </w:rPr>
            </w:pPr>
            <w:r w:rsidRPr="00BA64FA">
              <w:rPr>
                <w:color w:val="000000" w:themeColor="text1"/>
                <w:sz w:val="16"/>
                <w:szCs w:val="16"/>
              </w:rPr>
              <w:t>Japan – Industrial Safety and Health Law</w:t>
            </w:r>
          </w:p>
        </w:tc>
      </w:tr>
      <w:tr w:rsidR="003932EF" w:rsidRPr="009466F7" w14:paraId="01C372CD" w14:textId="77777777" w:rsidTr="006F364B">
        <w:trPr>
          <w:gridBefore w:val="1"/>
          <w:wBefore w:w="9" w:type="dxa"/>
          <w:cantSplit/>
        </w:trPr>
        <w:tc>
          <w:tcPr>
            <w:tcW w:w="2137" w:type="dxa"/>
          </w:tcPr>
          <w:p w14:paraId="01C372C9" w14:textId="77777777" w:rsidR="00972680" w:rsidRPr="00E5181A" w:rsidRDefault="00972680" w:rsidP="00D22252">
            <w:pPr>
              <w:keepNext/>
              <w:keepLines/>
              <w:spacing w:before="120" w:after="120"/>
              <w:rPr>
                <w:color w:val="000000" w:themeColor="text1"/>
                <w:sz w:val="16"/>
                <w:szCs w:val="16"/>
              </w:rPr>
            </w:pPr>
            <w:r w:rsidRPr="00E5181A">
              <w:rPr>
                <w:color w:val="000000" w:themeColor="text1"/>
                <w:sz w:val="16"/>
                <w:szCs w:val="16"/>
              </w:rPr>
              <w:t>Beryllium Oxide</w:t>
            </w:r>
          </w:p>
        </w:tc>
        <w:tc>
          <w:tcPr>
            <w:tcW w:w="1350" w:type="dxa"/>
          </w:tcPr>
          <w:p w14:paraId="01C372CA" w14:textId="77777777" w:rsidR="00972680" w:rsidRPr="00E5181A" w:rsidRDefault="00972680" w:rsidP="00D22252">
            <w:pPr>
              <w:keepNext/>
              <w:keepLines/>
              <w:spacing w:before="120" w:after="120"/>
              <w:jc w:val="center"/>
              <w:rPr>
                <w:color w:val="000000" w:themeColor="text1"/>
                <w:sz w:val="16"/>
                <w:szCs w:val="16"/>
              </w:rPr>
            </w:pPr>
            <w:r w:rsidRPr="00E5181A">
              <w:rPr>
                <w:color w:val="000000" w:themeColor="text1"/>
                <w:sz w:val="16"/>
                <w:szCs w:val="16"/>
              </w:rPr>
              <w:t>1304-56-9</w:t>
            </w:r>
          </w:p>
        </w:tc>
        <w:tc>
          <w:tcPr>
            <w:tcW w:w="3621" w:type="dxa"/>
          </w:tcPr>
          <w:p w14:paraId="01C372CB" w14:textId="77777777" w:rsidR="009838CF" w:rsidRPr="00E5181A" w:rsidRDefault="009838CF" w:rsidP="00D22252">
            <w:pPr>
              <w:pStyle w:val="sBullet"/>
              <w:numPr>
                <w:ilvl w:val="0"/>
                <w:numId w:val="0"/>
              </w:numPr>
              <w:tabs>
                <w:tab w:val="left" w:pos="69"/>
              </w:tabs>
              <w:spacing w:before="120" w:after="120"/>
              <w:contextualSpacing w:val="0"/>
            </w:pPr>
            <w:r w:rsidRPr="00E5181A">
              <w:t>Default reporting threshold of 0.1% (1000 ppm) by we</w:t>
            </w:r>
            <w:r w:rsidR="00664E52" w:rsidRPr="00E5181A">
              <w:t>ight in the article</w:t>
            </w:r>
            <w:r w:rsidRPr="00E5181A">
              <w:t>.</w:t>
            </w:r>
          </w:p>
        </w:tc>
        <w:tc>
          <w:tcPr>
            <w:tcW w:w="2432" w:type="dxa"/>
            <w:gridSpan w:val="2"/>
          </w:tcPr>
          <w:p w14:paraId="01C372CC" w14:textId="77777777" w:rsidR="00972680" w:rsidRPr="00E5181A" w:rsidRDefault="005B45F5" w:rsidP="00D22252">
            <w:pPr>
              <w:pStyle w:val="sBullet"/>
              <w:numPr>
                <w:ilvl w:val="0"/>
                <w:numId w:val="0"/>
              </w:numPr>
              <w:tabs>
                <w:tab w:val="left" w:pos="69"/>
              </w:tabs>
              <w:spacing w:before="120" w:after="120"/>
              <w:contextualSpacing w:val="0"/>
            </w:pPr>
            <w:r w:rsidRPr="00E5181A">
              <w:t>EU – EERA/</w:t>
            </w:r>
            <w:proofErr w:type="spellStart"/>
            <w:r w:rsidRPr="00E5181A">
              <w:t>AeA</w:t>
            </w:r>
            <w:proofErr w:type="spellEnd"/>
            <w:r w:rsidRPr="00E5181A">
              <w:t>/CECED</w:t>
            </w:r>
          </w:p>
        </w:tc>
      </w:tr>
      <w:tr w:rsidR="007C7A31" w:rsidRPr="009466F7" w14:paraId="19F44E5C" w14:textId="77777777" w:rsidTr="006F364B">
        <w:trPr>
          <w:gridBefore w:val="1"/>
          <w:wBefore w:w="9" w:type="dxa"/>
          <w:cantSplit/>
        </w:trPr>
        <w:tc>
          <w:tcPr>
            <w:tcW w:w="2137" w:type="dxa"/>
          </w:tcPr>
          <w:p w14:paraId="6A8558A1" w14:textId="00FD2D29" w:rsidR="007C7A31" w:rsidRPr="00E5181A" w:rsidRDefault="007C7A31" w:rsidP="00D22252">
            <w:pPr>
              <w:keepNext/>
              <w:keepLines/>
              <w:spacing w:before="120" w:after="120"/>
              <w:rPr>
                <w:color w:val="000000" w:themeColor="text1"/>
                <w:sz w:val="16"/>
                <w:szCs w:val="16"/>
              </w:rPr>
            </w:pPr>
            <w:r w:rsidRPr="007C7A31">
              <w:rPr>
                <w:color w:val="000000" w:themeColor="text1"/>
                <w:sz w:val="16"/>
                <w:szCs w:val="16"/>
              </w:rPr>
              <w:lastRenderedPageBreak/>
              <w:t>Bis(2-(2-</w:t>
            </w:r>
            <w:proofErr w:type="gramStart"/>
            <w:r w:rsidRPr="007C7A31">
              <w:rPr>
                <w:color w:val="000000" w:themeColor="text1"/>
                <w:sz w:val="16"/>
                <w:szCs w:val="16"/>
              </w:rPr>
              <w:t>methoxyethoxy)ethyl</w:t>
            </w:r>
            <w:proofErr w:type="gramEnd"/>
            <w:r w:rsidRPr="007C7A31">
              <w:rPr>
                <w:color w:val="000000" w:themeColor="text1"/>
                <w:sz w:val="16"/>
                <w:szCs w:val="16"/>
              </w:rPr>
              <w:t>)ether</w:t>
            </w:r>
          </w:p>
        </w:tc>
        <w:tc>
          <w:tcPr>
            <w:tcW w:w="1350" w:type="dxa"/>
          </w:tcPr>
          <w:p w14:paraId="18A5FADF" w14:textId="4A7E042C" w:rsidR="007C7A31" w:rsidRPr="00E5181A" w:rsidRDefault="007C7A31" w:rsidP="00D22252">
            <w:pPr>
              <w:keepNext/>
              <w:keepLines/>
              <w:spacing w:before="120" w:after="120"/>
              <w:jc w:val="center"/>
              <w:rPr>
                <w:color w:val="000000" w:themeColor="text1"/>
                <w:sz w:val="16"/>
                <w:szCs w:val="16"/>
              </w:rPr>
            </w:pPr>
            <w:r w:rsidRPr="007C7A31">
              <w:rPr>
                <w:color w:val="000000" w:themeColor="text1"/>
                <w:sz w:val="16"/>
                <w:szCs w:val="16"/>
              </w:rPr>
              <w:t>143-24-8</w:t>
            </w:r>
          </w:p>
        </w:tc>
        <w:tc>
          <w:tcPr>
            <w:tcW w:w="3621" w:type="dxa"/>
          </w:tcPr>
          <w:p w14:paraId="32960372" w14:textId="280471A4" w:rsidR="007C7A31" w:rsidRPr="00E5181A" w:rsidRDefault="007C7A31" w:rsidP="00D22252">
            <w:pPr>
              <w:pStyle w:val="sBullet"/>
              <w:numPr>
                <w:ilvl w:val="0"/>
                <w:numId w:val="0"/>
              </w:numPr>
              <w:tabs>
                <w:tab w:val="left" w:pos="69"/>
              </w:tabs>
              <w:spacing w:before="120" w:after="120"/>
              <w:contextualSpacing w:val="0"/>
            </w:pPr>
            <w:r w:rsidRPr="007C7A31">
              <w:t xml:space="preserve">This is also called </w:t>
            </w:r>
            <w:proofErr w:type="spellStart"/>
            <w:r w:rsidRPr="007C7A31">
              <w:t>tetraglyme</w:t>
            </w:r>
            <w:proofErr w:type="spellEnd"/>
            <w:r w:rsidRPr="007C7A31">
              <w:t xml:space="preserve"> which is a solvent with a relatively high boiling point that is used as a process chemical and to make finished products. Although many uses of the substance will not result in the substance being retained within the article, applications where it will be retained include inks and paper products. The substance can also be used in lithium-ion battery technology, as automotive air conditioning lubricant and in the formulation of paint strippers, fluxes and adhesive removers</w:t>
            </w:r>
          </w:p>
        </w:tc>
        <w:tc>
          <w:tcPr>
            <w:tcW w:w="2432" w:type="dxa"/>
            <w:gridSpan w:val="2"/>
          </w:tcPr>
          <w:p w14:paraId="400EFC5D" w14:textId="57FCC40A" w:rsidR="007C7A31" w:rsidRPr="00E5181A" w:rsidRDefault="007C7A31" w:rsidP="00D22252">
            <w:pPr>
              <w:pStyle w:val="sBullet"/>
              <w:numPr>
                <w:ilvl w:val="0"/>
                <w:numId w:val="0"/>
              </w:numPr>
              <w:tabs>
                <w:tab w:val="left" w:pos="69"/>
              </w:tabs>
              <w:spacing w:before="120" w:after="120"/>
              <w:contextualSpacing w:val="0"/>
            </w:pPr>
            <w:r w:rsidRPr="007C7A31">
              <w:t>EU – Regulation EC 1907/2006 Annex 17 and its amendments</w:t>
            </w:r>
          </w:p>
        </w:tc>
      </w:tr>
      <w:tr w:rsidR="003932EF" w:rsidRPr="001571DE" w14:paraId="01C372D2" w14:textId="77777777" w:rsidTr="006F364B">
        <w:tblPrEx>
          <w:jc w:val="center"/>
          <w:tblInd w:w="0" w:type="dxa"/>
          <w:tblCellMar>
            <w:left w:w="115" w:type="dxa"/>
            <w:right w:w="115" w:type="dxa"/>
          </w:tblCellMar>
        </w:tblPrEx>
        <w:trPr>
          <w:gridAfter w:val="1"/>
          <w:wAfter w:w="7" w:type="dxa"/>
          <w:cantSplit/>
          <w:jc w:val="center"/>
        </w:trPr>
        <w:tc>
          <w:tcPr>
            <w:tcW w:w="2146" w:type="dxa"/>
            <w:gridSpan w:val="2"/>
          </w:tcPr>
          <w:p w14:paraId="01C372CE" w14:textId="77777777" w:rsidR="003E5621" w:rsidRPr="00E5181A" w:rsidRDefault="003E5621" w:rsidP="00D22252">
            <w:pPr>
              <w:keepNext/>
              <w:keepLines/>
              <w:spacing w:before="120" w:after="120"/>
              <w:rPr>
                <w:color w:val="000000" w:themeColor="text1"/>
                <w:sz w:val="16"/>
                <w:szCs w:val="16"/>
              </w:rPr>
            </w:pPr>
            <w:r w:rsidRPr="00E5181A">
              <w:rPr>
                <w:color w:val="000000" w:themeColor="text1"/>
                <w:sz w:val="16"/>
                <w:szCs w:val="16"/>
              </w:rPr>
              <w:t>Bisphenol-A</w:t>
            </w:r>
          </w:p>
        </w:tc>
        <w:tc>
          <w:tcPr>
            <w:tcW w:w="1350" w:type="dxa"/>
          </w:tcPr>
          <w:p w14:paraId="01C372CF" w14:textId="77777777" w:rsidR="003E5621" w:rsidRPr="00E5181A" w:rsidRDefault="003E5621" w:rsidP="00D22252">
            <w:pPr>
              <w:keepNext/>
              <w:keepLines/>
              <w:spacing w:before="120" w:after="120"/>
              <w:jc w:val="center"/>
              <w:rPr>
                <w:color w:val="000000" w:themeColor="text1"/>
                <w:sz w:val="16"/>
                <w:szCs w:val="16"/>
              </w:rPr>
            </w:pPr>
            <w:r w:rsidRPr="00E5181A">
              <w:rPr>
                <w:color w:val="000000" w:themeColor="text1"/>
                <w:sz w:val="16"/>
                <w:szCs w:val="16"/>
              </w:rPr>
              <w:t>80-05-7</w:t>
            </w:r>
          </w:p>
        </w:tc>
        <w:tc>
          <w:tcPr>
            <w:tcW w:w="3621" w:type="dxa"/>
          </w:tcPr>
          <w:p w14:paraId="01C372D0" w14:textId="77777777" w:rsidR="001571DE" w:rsidRPr="00E5181A" w:rsidRDefault="003E5621" w:rsidP="00D22252">
            <w:pPr>
              <w:pStyle w:val="sBullet"/>
              <w:numPr>
                <w:ilvl w:val="0"/>
                <w:numId w:val="0"/>
              </w:numPr>
              <w:spacing w:before="120" w:after="120"/>
              <w:contextualSpacing w:val="0"/>
            </w:pPr>
            <w:r w:rsidRPr="00E5181A">
              <w:t>Default reporting threshold of 0.1% (1000 ppm) by weight in any homogeneous material.</w:t>
            </w:r>
          </w:p>
        </w:tc>
        <w:tc>
          <w:tcPr>
            <w:tcW w:w="2425" w:type="dxa"/>
          </w:tcPr>
          <w:p w14:paraId="01C372D1" w14:textId="03CE396A" w:rsidR="003E5621" w:rsidRPr="00E5181A" w:rsidRDefault="00ED1FE9" w:rsidP="00D22252">
            <w:pPr>
              <w:pStyle w:val="sBullet"/>
              <w:numPr>
                <w:ilvl w:val="0"/>
                <w:numId w:val="0"/>
              </w:numPr>
              <w:spacing w:before="120" w:after="120"/>
              <w:contextualSpacing w:val="0"/>
            </w:pPr>
            <w:r>
              <w:t>General Industry C</w:t>
            </w:r>
            <w:r w:rsidR="001571DE" w:rsidRPr="00E5181A">
              <w:t>oncern</w:t>
            </w:r>
          </w:p>
        </w:tc>
      </w:tr>
      <w:tr w:rsidR="005167FD" w:rsidRPr="001571DE" w14:paraId="06427CC5" w14:textId="77777777" w:rsidTr="006F364B">
        <w:tblPrEx>
          <w:jc w:val="center"/>
          <w:tblInd w:w="0" w:type="dxa"/>
          <w:tblCellMar>
            <w:left w:w="115" w:type="dxa"/>
            <w:right w:w="115" w:type="dxa"/>
          </w:tblCellMar>
        </w:tblPrEx>
        <w:trPr>
          <w:gridAfter w:val="1"/>
          <w:wAfter w:w="7" w:type="dxa"/>
          <w:cantSplit/>
          <w:jc w:val="center"/>
        </w:trPr>
        <w:tc>
          <w:tcPr>
            <w:tcW w:w="2146" w:type="dxa"/>
            <w:gridSpan w:val="2"/>
          </w:tcPr>
          <w:p w14:paraId="1ECB2FD3" w14:textId="3FB9433F" w:rsidR="005167FD" w:rsidRPr="00E5181A" w:rsidRDefault="005167FD" w:rsidP="00D22252">
            <w:pPr>
              <w:keepNext/>
              <w:keepLines/>
              <w:spacing w:before="120" w:after="120"/>
              <w:rPr>
                <w:color w:val="000000" w:themeColor="text1"/>
                <w:sz w:val="16"/>
                <w:szCs w:val="16"/>
              </w:rPr>
            </w:pPr>
            <w:r>
              <w:rPr>
                <w:color w:val="000000" w:themeColor="text1"/>
                <w:sz w:val="16"/>
                <w:szCs w:val="16"/>
              </w:rPr>
              <w:t>Biocides</w:t>
            </w:r>
          </w:p>
        </w:tc>
        <w:tc>
          <w:tcPr>
            <w:tcW w:w="1350" w:type="dxa"/>
          </w:tcPr>
          <w:p w14:paraId="73F676BC" w14:textId="6C1CB42F" w:rsidR="005167FD" w:rsidRPr="00E5181A" w:rsidRDefault="005167FD" w:rsidP="00D22252">
            <w:pPr>
              <w:keepNext/>
              <w:keepLines/>
              <w:spacing w:before="120" w:after="120"/>
              <w:jc w:val="center"/>
              <w:rPr>
                <w:color w:val="000000" w:themeColor="text1"/>
                <w:sz w:val="16"/>
                <w:szCs w:val="16"/>
              </w:rPr>
            </w:pPr>
            <w:r w:rsidRPr="00E5181A">
              <w:rPr>
                <w:color w:val="000000" w:themeColor="text1"/>
                <w:sz w:val="16"/>
                <w:szCs w:val="16"/>
              </w:rPr>
              <w:t>See references</w:t>
            </w:r>
          </w:p>
        </w:tc>
        <w:tc>
          <w:tcPr>
            <w:tcW w:w="3621" w:type="dxa"/>
          </w:tcPr>
          <w:p w14:paraId="5135F645" w14:textId="0D9B2668" w:rsidR="005167FD" w:rsidRPr="00E5181A" w:rsidRDefault="005167FD" w:rsidP="00094E4C">
            <w:pPr>
              <w:pStyle w:val="sBullet"/>
              <w:numPr>
                <w:ilvl w:val="0"/>
                <w:numId w:val="0"/>
              </w:numPr>
              <w:spacing w:before="120" w:after="120"/>
              <w:contextualSpacing w:val="0"/>
            </w:pPr>
            <w:r>
              <w:t>The treating of materials or intentional use of biocide substances is to be in accordance</w:t>
            </w:r>
            <w:r w:rsidR="00C007AE">
              <w:t xml:space="preserve"> with the referenced Biocidal Products Regulation. U</w:t>
            </w:r>
            <w:r>
              <w:t xml:space="preserve">se of biocides in </w:t>
            </w:r>
            <w:r w:rsidR="00C007AE">
              <w:t xml:space="preserve">supplied </w:t>
            </w:r>
            <w:r>
              <w:t xml:space="preserve">products is to be </w:t>
            </w:r>
            <w:r w:rsidR="00E1659C">
              <w:t>declared</w:t>
            </w:r>
            <w:r>
              <w:t>.</w:t>
            </w:r>
          </w:p>
        </w:tc>
        <w:tc>
          <w:tcPr>
            <w:tcW w:w="2425" w:type="dxa"/>
          </w:tcPr>
          <w:p w14:paraId="1E35852B" w14:textId="6FA5A7F2" w:rsidR="005167FD" w:rsidRPr="00E5181A" w:rsidRDefault="005167FD" w:rsidP="00D22252">
            <w:pPr>
              <w:pStyle w:val="sBullet"/>
              <w:numPr>
                <w:ilvl w:val="0"/>
                <w:numId w:val="0"/>
              </w:numPr>
              <w:spacing w:before="120" w:after="120"/>
              <w:contextualSpacing w:val="0"/>
            </w:pPr>
            <w:r>
              <w:t>EU – Regulation EU 528/2012 and its amendments</w:t>
            </w:r>
          </w:p>
        </w:tc>
      </w:tr>
      <w:tr w:rsidR="005167FD" w:rsidRPr="005B45F5" w14:paraId="01C372DA" w14:textId="77777777" w:rsidTr="006F364B">
        <w:tblPrEx>
          <w:jc w:val="center"/>
          <w:tblInd w:w="0" w:type="dxa"/>
          <w:tblCellMar>
            <w:left w:w="115" w:type="dxa"/>
            <w:right w:w="115" w:type="dxa"/>
          </w:tblCellMar>
        </w:tblPrEx>
        <w:trPr>
          <w:gridAfter w:val="1"/>
          <w:wAfter w:w="7" w:type="dxa"/>
          <w:cantSplit/>
          <w:jc w:val="center"/>
        </w:trPr>
        <w:tc>
          <w:tcPr>
            <w:tcW w:w="2146" w:type="dxa"/>
            <w:gridSpan w:val="2"/>
          </w:tcPr>
          <w:p w14:paraId="01C372D3" w14:textId="77777777" w:rsidR="005167FD" w:rsidRPr="00E5181A" w:rsidRDefault="005167FD" w:rsidP="00D22252">
            <w:pPr>
              <w:keepNext/>
              <w:keepLines/>
              <w:spacing w:before="120" w:after="120"/>
              <w:rPr>
                <w:color w:val="000000" w:themeColor="text1"/>
                <w:sz w:val="16"/>
                <w:szCs w:val="16"/>
              </w:rPr>
            </w:pPr>
            <w:r w:rsidRPr="00E5181A">
              <w:rPr>
                <w:color w:val="000000" w:themeColor="text1"/>
                <w:sz w:val="16"/>
                <w:szCs w:val="16"/>
              </w:rPr>
              <w:t>Brominated Fire Retardants other than PBBs, PBDEs or HBCDD</w:t>
            </w:r>
          </w:p>
        </w:tc>
        <w:tc>
          <w:tcPr>
            <w:tcW w:w="1350" w:type="dxa"/>
          </w:tcPr>
          <w:p w14:paraId="01C372D4" w14:textId="77777777" w:rsidR="005167FD" w:rsidRPr="00E5181A" w:rsidRDefault="005167FD" w:rsidP="00D22252">
            <w:pPr>
              <w:keepNext/>
              <w:keepLines/>
              <w:spacing w:before="120" w:after="120"/>
              <w:jc w:val="center"/>
              <w:rPr>
                <w:color w:val="000000" w:themeColor="text1"/>
                <w:sz w:val="16"/>
                <w:szCs w:val="16"/>
              </w:rPr>
            </w:pPr>
            <w:r w:rsidRPr="00E5181A">
              <w:rPr>
                <w:color w:val="000000" w:themeColor="text1"/>
                <w:sz w:val="16"/>
                <w:szCs w:val="16"/>
              </w:rPr>
              <w:t>See references</w:t>
            </w:r>
          </w:p>
        </w:tc>
        <w:tc>
          <w:tcPr>
            <w:tcW w:w="3621" w:type="dxa"/>
          </w:tcPr>
          <w:p w14:paraId="01C372D5" w14:textId="77777777" w:rsidR="005167FD" w:rsidRPr="00E5181A" w:rsidRDefault="005167FD" w:rsidP="00D22252">
            <w:pPr>
              <w:pStyle w:val="sBullet"/>
              <w:numPr>
                <w:ilvl w:val="0"/>
                <w:numId w:val="0"/>
              </w:numPr>
              <w:spacing w:before="120" w:after="120"/>
              <w:contextualSpacing w:val="0"/>
            </w:pPr>
            <w:r w:rsidRPr="00E5181A">
              <w:t xml:space="preserve">Default reporting threshold of 0.1% (1000 ppm) by weight of the plastic material parts greater than 25 grams other than in printed circuit assemblies. </w:t>
            </w:r>
          </w:p>
          <w:p w14:paraId="01C372D6" w14:textId="77777777" w:rsidR="005167FD" w:rsidRPr="00E5181A" w:rsidRDefault="005167FD" w:rsidP="00D22252">
            <w:pPr>
              <w:pStyle w:val="sBullet"/>
              <w:numPr>
                <w:ilvl w:val="0"/>
                <w:numId w:val="0"/>
              </w:numPr>
              <w:spacing w:before="120" w:after="120"/>
              <w:contextualSpacing w:val="0"/>
            </w:pPr>
            <w:r w:rsidRPr="00E5181A">
              <w:t>0.09% (900 ppm) total br</w:t>
            </w:r>
            <w:r>
              <w:t>omine content by weight in the printed circuit board</w:t>
            </w:r>
            <w:r w:rsidRPr="00E5181A">
              <w:t xml:space="preserve"> laminates.</w:t>
            </w:r>
          </w:p>
        </w:tc>
        <w:tc>
          <w:tcPr>
            <w:tcW w:w="2425" w:type="dxa"/>
          </w:tcPr>
          <w:p w14:paraId="01C372D7" w14:textId="77777777" w:rsidR="005167FD" w:rsidRPr="00E5181A" w:rsidRDefault="005167FD" w:rsidP="00D22252">
            <w:pPr>
              <w:pStyle w:val="sBullet"/>
              <w:numPr>
                <w:ilvl w:val="0"/>
                <w:numId w:val="0"/>
              </w:numPr>
              <w:spacing w:before="120" w:after="120"/>
              <w:contextualSpacing w:val="0"/>
            </w:pPr>
            <w:r w:rsidRPr="00E5181A">
              <w:t>EU – EERA/</w:t>
            </w:r>
            <w:proofErr w:type="spellStart"/>
            <w:r w:rsidRPr="00E5181A">
              <w:t>AeA</w:t>
            </w:r>
            <w:proofErr w:type="spellEnd"/>
            <w:r w:rsidRPr="00E5181A">
              <w:t>/CECED</w:t>
            </w:r>
          </w:p>
          <w:p w14:paraId="01C372D8" w14:textId="77777777" w:rsidR="005167FD" w:rsidRPr="00E5181A" w:rsidRDefault="005167FD" w:rsidP="00D22252">
            <w:pPr>
              <w:pStyle w:val="sBullet"/>
              <w:numPr>
                <w:ilvl w:val="0"/>
                <w:numId w:val="0"/>
              </w:numPr>
              <w:spacing w:before="120" w:after="120"/>
              <w:contextualSpacing w:val="0"/>
            </w:pPr>
            <w:r w:rsidRPr="00E5181A">
              <w:t>IPC-4101</w:t>
            </w:r>
          </w:p>
          <w:p w14:paraId="01C372D9" w14:textId="77777777" w:rsidR="005167FD" w:rsidRPr="00E5181A" w:rsidRDefault="005167FD" w:rsidP="00D22252">
            <w:pPr>
              <w:pStyle w:val="sBullet"/>
              <w:numPr>
                <w:ilvl w:val="0"/>
                <w:numId w:val="0"/>
              </w:numPr>
              <w:spacing w:before="120" w:after="120"/>
              <w:contextualSpacing w:val="0"/>
            </w:pPr>
            <w:r w:rsidRPr="00E5181A">
              <w:t>IEC 61249-2-21</w:t>
            </w:r>
          </w:p>
        </w:tc>
      </w:tr>
      <w:tr w:rsidR="005167FD" w:rsidRPr="0075797E" w14:paraId="01C372E0" w14:textId="77777777" w:rsidTr="006F364B">
        <w:tblPrEx>
          <w:jc w:val="center"/>
          <w:tblInd w:w="0" w:type="dxa"/>
          <w:tblCellMar>
            <w:left w:w="115" w:type="dxa"/>
            <w:right w:w="115" w:type="dxa"/>
          </w:tblCellMar>
        </w:tblPrEx>
        <w:trPr>
          <w:gridAfter w:val="1"/>
          <w:wAfter w:w="7" w:type="dxa"/>
          <w:cantSplit/>
          <w:jc w:val="center"/>
        </w:trPr>
        <w:tc>
          <w:tcPr>
            <w:tcW w:w="2146" w:type="dxa"/>
            <w:gridSpan w:val="2"/>
          </w:tcPr>
          <w:p w14:paraId="01C372DB" w14:textId="77777777" w:rsidR="005167FD" w:rsidRDefault="005167FD" w:rsidP="00D22252">
            <w:pPr>
              <w:keepNext/>
              <w:keepLines/>
              <w:spacing w:before="120" w:after="120"/>
              <w:rPr>
                <w:color w:val="000000" w:themeColor="text1"/>
                <w:sz w:val="16"/>
                <w:szCs w:val="16"/>
              </w:rPr>
            </w:pPr>
            <w:r>
              <w:rPr>
                <w:color w:val="000000" w:themeColor="text1"/>
                <w:sz w:val="16"/>
                <w:szCs w:val="16"/>
              </w:rPr>
              <w:t>Cadmium and Cadmium Compounds</w:t>
            </w:r>
          </w:p>
        </w:tc>
        <w:tc>
          <w:tcPr>
            <w:tcW w:w="1350" w:type="dxa"/>
          </w:tcPr>
          <w:p w14:paraId="01C372DC" w14:textId="77777777" w:rsidR="005167FD" w:rsidRPr="00E5181A" w:rsidRDefault="005167FD" w:rsidP="000D15DF">
            <w:pPr>
              <w:keepNext/>
              <w:keepLines/>
              <w:spacing w:before="120" w:after="120"/>
              <w:jc w:val="center"/>
              <w:rPr>
                <w:color w:val="000000" w:themeColor="text1"/>
                <w:sz w:val="16"/>
                <w:szCs w:val="16"/>
              </w:rPr>
            </w:pPr>
            <w:r>
              <w:rPr>
                <w:color w:val="000000" w:themeColor="text1"/>
                <w:sz w:val="16"/>
                <w:szCs w:val="16"/>
              </w:rPr>
              <w:t>See references</w:t>
            </w:r>
          </w:p>
        </w:tc>
        <w:tc>
          <w:tcPr>
            <w:tcW w:w="3621" w:type="dxa"/>
          </w:tcPr>
          <w:p w14:paraId="01C372DD" w14:textId="3FAB595D" w:rsidR="005167FD" w:rsidRDefault="008173AA" w:rsidP="0060134F">
            <w:pPr>
              <w:pStyle w:val="sBullet"/>
              <w:numPr>
                <w:ilvl w:val="0"/>
                <w:numId w:val="0"/>
              </w:numPr>
              <w:spacing w:before="120" w:after="120"/>
              <w:contextualSpacing w:val="0"/>
            </w:pPr>
            <w:r>
              <w:t>C</w:t>
            </w:r>
            <w:r w:rsidR="005167FD">
              <w:t>admium and cadmium compounds are not to be used, or are not to exceed the applicable thresholds, in articles as described in the reference.</w:t>
            </w:r>
          </w:p>
        </w:tc>
        <w:tc>
          <w:tcPr>
            <w:tcW w:w="2425" w:type="dxa"/>
          </w:tcPr>
          <w:p w14:paraId="01C372DF" w14:textId="72EAA127" w:rsidR="005167FD" w:rsidRDefault="005167FD" w:rsidP="008173AA">
            <w:pPr>
              <w:pStyle w:val="sBullet"/>
              <w:numPr>
                <w:ilvl w:val="0"/>
                <w:numId w:val="0"/>
              </w:numPr>
              <w:spacing w:before="120" w:after="120"/>
              <w:ind w:left="-1"/>
              <w:contextualSpacing w:val="0"/>
            </w:pPr>
            <w:r w:rsidRPr="00E5181A">
              <w:t xml:space="preserve">EU – Regulation EC 1907/2006 </w:t>
            </w:r>
            <w:r w:rsidR="00380FE2" w:rsidRPr="00380FE2">
              <w:t xml:space="preserve">Annex 17 </w:t>
            </w:r>
            <w:r w:rsidRPr="00E5181A">
              <w:t>and its amendments</w:t>
            </w:r>
          </w:p>
        </w:tc>
      </w:tr>
      <w:tr w:rsidR="005167FD" w:rsidRPr="008C1CD6" w14:paraId="0490A4E5" w14:textId="77777777" w:rsidTr="006F364B">
        <w:tblPrEx>
          <w:jc w:val="center"/>
          <w:tblInd w:w="0" w:type="dxa"/>
          <w:tblCellMar>
            <w:left w:w="115" w:type="dxa"/>
            <w:right w:w="115" w:type="dxa"/>
          </w:tblCellMar>
        </w:tblPrEx>
        <w:trPr>
          <w:gridAfter w:val="1"/>
          <w:wAfter w:w="7" w:type="dxa"/>
          <w:cantSplit/>
          <w:jc w:val="center"/>
        </w:trPr>
        <w:tc>
          <w:tcPr>
            <w:tcW w:w="2146" w:type="dxa"/>
            <w:gridSpan w:val="2"/>
          </w:tcPr>
          <w:p w14:paraId="3C7682E7" w14:textId="55CE90D5" w:rsidR="005167FD" w:rsidRPr="008C1CD6" w:rsidRDefault="005167FD" w:rsidP="00D22252">
            <w:pPr>
              <w:keepNext/>
              <w:keepLines/>
              <w:spacing w:before="120" w:after="120"/>
              <w:rPr>
                <w:color w:val="000000" w:themeColor="text1"/>
                <w:sz w:val="16"/>
                <w:szCs w:val="16"/>
              </w:rPr>
            </w:pPr>
            <w:r w:rsidRPr="008C1CD6">
              <w:rPr>
                <w:color w:val="000000" w:themeColor="text1"/>
                <w:sz w:val="16"/>
                <w:szCs w:val="16"/>
              </w:rPr>
              <w:t>California Proposition 65</w:t>
            </w:r>
          </w:p>
        </w:tc>
        <w:tc>
          <w:tcPr>
            <w:tcW w:w="1350" w:type="dxa"/>
          </w:tcPr>
          <w:p w14:paraId="2988A027" w14:textId="2DFC6660" w:rsidR="005167FD" w:rsidRPr="008C1CD6" w:rsidRDefault="005167FD" w:rsidP="000D15DF">
            <w:pPr>
              <w:keepNext/>
              <w:keepLines/>
              <w:spacing w:before="120" w:after="120"/>
              <w:jc w:val="center"/>
              <w:rPr>
                <w:color w:val="000000" w:themeColor="text1"/>
                <w:sz w:val="16"/>
                <w:szCs w:val="16"/>
              </w:rPr>
            </w:pPr>
            <w:r w:rsidRPr="008C1CD6">
              <w:rPr>
                <w:color w:val="000000" w:themeColor="text1"/>
                <w:sz w:val="16"/>
                <w:szCs w:val="16"/>
              </w:rPr>
              <w:t>See references</w:t>
            </w:r>
          </w:p>
        </w:tc>
        <w:tc>
          <w:tcPr>
            <w:tcW w:w="3621" w:type="dxa"/>
          </w:tcPr>
          <w:p w14:paraId="7974AF89" w14:textId="5388ED3C" w:rsidR="005167FD" w:rsidRPr="008C1CD6" w:rsidRDefault="00E05A33" w:rsidP="0060134F">
            <w:pPr>
              <w:pStyle w:val="sBullet"/>
              <w:numPr>
                <w:ilvl w:val="0"/>
                <w:numId w:val="0"/>
              </w:numPr>
              <w:spacing w:before="120" w:after="120"/>
              <w:contextualSpacing w:val="0"/>
            </w:pPr>
            <w:r>
              <w:t>Provider</w:t>
            </w:r>
            <w:r w:rsidR="005167FD" w:rsidRPr="008C1CD6">
              <w:t>s are expected to establish policies, due diligence frameworks and management systems as required by the referenced law; and to support reasonable inquiries by X-Rite regarding California Proposition 65 by reporting substances in parts and materials that would likely create exposure to users that exceed the law’s s</w:t>
            </w:r>
            <w:r w:rsidR="005167FD" w:rsidRPr="00710C5E">
              <w:t xml:space="preserve">tated </w:t>
            </w:r>
            <w:r w:rsidR="0042190E" w:rsidRPr="00710C5E">
              <w:t xml:space="preserve">exposure </w:t>
            </w:r>
            <w:r w:rsidR="005167FD" w:rsidRPr="00710C5E">
              <w:t>thr</w:t>
            </w:r>
            <w:r w:rsidR="005167FD" w:rsidRPr="008C1CD6">
              <w:t>eshold values.</w:t>
            </w:r>
          </w:p>
        </w:tc>
        <w:tc>
          <w:tcPr>
            <w:tcW w:w="2425" w:type="dxa"/>
          </w:tcPr>
          <w:p w14:paraId="0C7F23E4" w14:textId="2EBF5E72" w:rsidR="005167FD" w:rsidRPr="008C1CD6" w:rsidRDefault="005167FD" w:rsidP="0060134F">
            <w:pPr>
              <w:pStyle w:val="sBullet"/>
              <w:numPr>
                <w:ilvl w:val="0"/>
                <w:numId w:val="0"/>
              </w:numPr>
              <w:spacing w:before="120" w:after="120"/>
              <w:ind w:left="-1"/>
              <w:contextualSpacing w:val="0"/>
            </w:pPr>
            <w:r w:rsidRPr="008C1CD6">
              <w:t>USA – California Proposition 65</w:t>
            </w:r>
          </w:p>
        </w:tc>
      </w:tr>
      <w:tr w:rsidR="005167FD" w:rsidRPr="0075797E" w14:paraId="01C372E5" w14:textId="77777777" w:rsidTr="006F364B">
        <w:tblPrEx>
          <w:jc w:val="center"/>
          <w:tblInd w:w="0" w:type="dxa"/>
          <w:tblCellMar>
            <w:left w:w="115" w:type="dxa"/>
            <w:right w:w="115" w:type="dxa"/>
          </w:tblCellMar>
        </w:tblPrEx>
        <w:trPr>
          <w:gridAfter w:val="1"/>
          <w:wAfter w:w="7" w:type="dxa"/>
          <w:cantSplit/>
          <w:jc w:val="center"/>
        </w:trPr>
        <w:tc>
          <w:tcPr>
            <w:tcW w:w="2146" w:type="dxa"/>
            <w:gridSpan w:val="2"/>
          </w:tcPr>
          <w:p w14:paraId="01C372E1" w14:textId="77777777" w:rsidR="005167FD" w:rsidRPr="00E5181A" w:rsidRDefault="005167FD" w:rsidP="00D22252">
            <w:pPr>
              <w:keepNext/>
              <w:keepLines/>
              <w:spacing w:before="120" w:after="120"/>
              <w:rPr>
                <w:color w:val="000000" w:themeColor="text1"/>
                <w:sz w:val="16"/>
                <w:szCs w:val="16"/>
              </w:rPr>
            </w:pPr>
            <w:r>
              <w:rPr>
                <w:color w:val="000000" w:themeColor="text1"/>
                <w:sz w:val="16"/>
                <w:szCs w:val="16"/>
              </w:rPr>
              <w:t>Conflict Minerals</w:t>
            </w:r>
          </w:p>
        </w:tc>
        <w:tc>
          <w:tcPr>
            <w:tcW w:w="1350" w:type="dxa"/>
          </w:tcPr>
          <w:p w14:paraId="01C372E2" w14:textId="77777777" w:rsidR="005167FD" w:rsidRPr="00E5181A" w:rsidRDefault="005167FD" w:rsidP="00D22252">
            <w:pPr>
              <w:keepNext/>
              <w:keepLines/>
              <w:spacing w:before="120" w:after="120"/>
              <w:jc w:val="center"/>
              <w:rPr>
                <w:color w:val="000000" w:themeColor="text1"/>
                <w:sz w:val="16"/>
                <w:szCs w:val="16"/>
              </w:rPr>
            </w:pPr>
            <w:r>
              <w:rPr>
                <w:color w:val="000000" w:themeColor="text1"/>
                <w:sz w:val="16"/>
                <w:szCs w:val="16"/>
              </w:rPr>
              <w:t>See references</w:t>
            </w:r>
          </w:p>
        </w:tc>
        <w:tc>
          <w:tcPr>
            <w:tcW w:w="3621" w:type="dxa"/>
          </w:tcPr>
          <w:p w14:paraId="01C372E3" w14:textId="7808CA0E" w:rsidR="005167FD" w:rsidRDefault="00E05A33" w:rsidP="00D22252">
            <w:pPr>
              <w:pStyle w:val="sBullet"/>
              <w:numPr>
                <w:ilvl w:val="0"/>
                <w:numId w:val="0"/>
              </w:numPr>
              <w:spacing w:before="120" w:after="120"/>
              <w:contextualSpacing w:val="0"/>
            </w:pPr>
            <w:r>
              <w:t>Provider</w:t>
            </w:r>
            <w:r w:rsidR="005167FD">
              <w:t xml:space="preserve">s are expected to </w:t>
            </w:r>
            <w:r w:rsidR="005167FD">
              <w:rPr>
                <w:rFonts w:eastAsia="ヒラギノ角ゴ ProN W3"/>
                <w:color w:val="000000"/>
              </w:rPr>
              <w:t>establish policies, due diligence frameworks and management systems as required by the referenced law; to support reasonable inquiries by X-Rite regarding conflict minerals (e.g., tungsten, tin, tantalum and gold); and to commit to becoming “conflict-free” for the items provided to X-Rite.</w:t>
            </w:r>
          </w:p>
        </w:tc>
        <w:tc>
          <w:tcPr>
            <w:tcW w:w="2425" w:type="dxa"/>
          </w:tcPr>
          <w:p w14:paraId="0302944F" w14:textId="77777777" w:rsidR="005167FD" w:rsidRPr="00676A53" w:rsidRDefault="005167FD" w:rsidP="00D22252">
            <w:pPr>
              <w:pStyle w:val="sBullet"/>
              <w:numPr>
                <w:ilvl w:val="0"/>
                <w:numId w:val="0"/>
              </w:numPr>
              <w:spacing w:before="120" w:after="120"/>
              <w:contextualSpacing w:val="0"/>
            </w:pPr>
            <w:r>
              <w:t>USA - Section 1502 of t</w:t>
            </w:r>
            <w:r w:rsidRPr="00915DBB">
              <w:t xml:space="preserve">he Dodd-Frank Wall Street Reform and </w:t>
            </w:r>
            <w:r w:rsidRPr="00676A53">
              <w:t>Consumer Protection Act</w:t>
            </w:r>
          </w:p>
          <w:p w14:paraId="01C372E4" w14:textId="7E659288" w:rsidR="00383989" w:rsidRPr="00E5181A" w:rsidRDefault="00383989" w:rsidP="00D22252">
            <w:pPr>
              <w:pStyle w:val="sBullet"/>
              <w:numPr>
                <w:ilvl w:val="0"/>
                <w:numId w:val="0"/>
              </w:numPr>
              <w:spacing w:before="120" w:after="120"/>
              <w:contextualSpacing w:val="0"/>
            </w:pPr>
            <w:r w:rsidRPr="00676A53">
              <w:t>EU – Regulation EU 2017/821</w:t>
            </w:r>
          </w:p>
        </w:tc>
      </w:tr>
      <w:tr w:rsidR="005167FD" w:rsidRPr="0075797E" w14:paraId="01C372EA" w14:textId="77777777" w:rsidTr="006F364B">
        <w:tblPrEx>
          <w:jc w:val="center"/>
          <w:tblInd w:w="0" w:type="dxa"/>
          <w:tblCellMar>
            <w:left w:w="115" w:type="dxa"/>
            <w:right w:w="115" w:type="dxa"/>
          </w:tblCellMar>
        </w:tblPrEx>
        <w:trPr>
          <w:gridAfter w:val="1"/>
          <w:wAfter w:w="7" w:type="dxa"/>
          <w:cantSplit/>
          <w:jc w:val="center"/>
        </w:trPr>
        <w:tc>
          <w:tcPr>
            <w:tcW w:w="2146" w:type="dxa"/>
            <w:gridSpan w:val="2"/>
          </w:tcPr>
          <w:p w14:paraId="01C372E6" w14:textId="77777777" w:rsidR="005167FD" w:rsidRPr="00E5181A" w:rsidRDefault="005167FD" w:rsidP="00D22252">
            <w:pPr>
              <w:keepNext/>
              <w:keepLines/>
              <w:spacing w:before="120" w:after="120"/>
              <w:rPr>
                <w:color w:val="000000" w:themeColor="text1"/>
                <w:sz w:val="16"/>
                <w:szCs w:val="16"/>
              </w:rPr>
            </w:pPr>
            <w:r w:rsidRPr="00E5181A">
              <w:rPr>
                <w:color w:val="000000" w:themeColor="text1"/>
                <w:sz w:val="16"/>
                <w:szCs w:val="16"/>
              </w:rPr>
              <w:t>Dimethyl fumarate</w:t>
            </w:r>
            <w:r>
              <w:rPr>
                <w:color w:val="000000" w:themeColor="text1"/>
                <w:sz w:val="16"/>
                <w:szCs w:val="16"/>
              </w:rPr>
              <w:t xml:space="preserve"> (DMF)</w:t>
            </w:r>
          </w:p>
        </w:tc>
        <w:tc>
          <w:tcPr>
            <w:tcW w:w="1350" w:type="dxa"/>
          </w:tcPr>
          <w:p w14:paraId="01C372E7" w14:textId="77777777" w:rsidR="005167FD" w:rsidRPr="00E5181A" w:rsidRDefault="005167FD" w:rsidP="00D22252">
            <w:pPr>
              <w:keepNext/>
              <w:keepLines/>
              <w:spacing w:before="120" w:after="120"/>
              <w:jc w:val="center"/>
              <w:rPr>
                <w:color w:val="000000" w:themeColor="text1"/>
                <w:sz w:val="16"/>
                <w:szCs w:val="16"/>
              </w:rPr>
            </w:pPr>
            <w:r w:rsidRPr="00E5181A">
              <w:rPr>
                <w:color w:val="000000" w:themeColor="text1"/>
                <w:sz w:val="16"/>
                <w:szCs w:val="16"/>
              </w:rPr>
              <w:t>624-49-7</w:t>
            </w:r>
          </w:p>
        </w:tc>
        <w:tc>
          <w:tcPr>
            <w:tcW w:w="3621" w:type="dxa"/>
          </w:tcPr>
          <w:p w14:paraId="01C372E8" w14:textId="77777777" w:rsidR="005167FD" w:rsidRPr="00E5181A" w:rsidRDefault="005167FD" w:rsidP="00D22252">
            <w:pPr>
              <w:pStyle w:val="sBullet"/>
              <w:numPr>
                <w:ilvl w:val="0"/>
                <w:numId w:val="0"/>
              </w:numPr>
              <w:spacing w:before="120" w:after="120"/>
              <w:contextualSpacing w:val="0"/>
            </w:pPr>
            <w:r>
              <w:t>Not to be used in articles or any parts thereof in concentrations greater than 0.1 mg/kg (0.1 ppm).</w:t>
            </w:r>
          </w:p>
        </w:tc>
        <w:tc>
          <w:tcPr>
            <w:tcW w:w="2425" w:type="dxa"/>
          </w:tcPr>
          <w:p w14:paraId="01C372E9" w14:textId="77777777" w:rsidR="005167FD" w:rsidRPr="00E5181A" w:rsidRDefault="005167FD" w:rsidP="00D22252">
            <w:pPr>
              <w:pStyle w:val="sBullet"/>
              <w:numPr>
                <w:ilvl w:val="0"/>
                <w:numId w:val="0"/>
              </w:numPr>
              <w:spacing w:before="120" w:after="120"/>
              <w:contextualSpacing w:val="0"/>
            </w:pPr>
            <w:r w:rsidRPr="00E5181A">
              <w:t>EU - Directive EC 98/8/EC and its amendment</w:t>
            </w:r>
            <w:r>
              <w:t>s, specifically EU No. 412/2012</w:t>
            </w:r>
          </w:p>
        </w:tc>
      </w:tr>
      <w:tr w:rsidR="005167FD" w:rsidRPr="00BA64FA" w14:paraId="01C372F2" w14:textId="77777777" w:rsidTr="006F364B">
        <w:tblPrEx>
          <w:jc w:val="center"/>
          <w:tblInd w:w="0" w:type="dxa"/>
          <w:tblCellMar>
            <w:left w:w="115" w:type="dxa"/>
            <w:right w:w="115" w:type="dxa"/>
          </w:tblCellMar>
        </w:tblPrEx>
        <w:trPr>
          <w:gridAfter w:val="1"/>
          <w:wAfter w:w="7" w:type="dxa"/>
          <w:cantSplit/>
          <w:jc w:val="center"/>
        </w:trPr>
        <w:tc>
          <w:tcPr>
            <w:tcW w:w="2146" w:type="dxa"/>
            <w:gridSpan w:val="2"/>
          </w:tcPr>
          <w:p w14:paraId="01C372EB" w14:textId="77777777" w:rsidR="005167FD" w:rsidRPr="00BA64FA" w:rsidRDefault="005167FD" w:rsidP="00D22252">
            <w:pPr>
              <w:keepNext/>
              <w:keepLines/>
              <w:spacing w:before="120" w:after="120"/>
              <w:rPr>
                <w:color w:val="000000" w:themeColor="text1"/>
                <w:sz w:val="16"/>
                <w:szCs w:val="16"/>
              </w:rPr>
            </w:pPr>
            <w:r w:rsidRPr="00BA64FA">
              <w:rPr>
                <w:color w:val="000000" w:themeColor="text1"/>
                <w:sz w:val="16"/>
                <w:szCs w:val="16"/>
              </w:rPr>
              <w:t>Di-μ-oxo-di-n-butyl</w:t>
            </w:r>
          </w:p>
          <w:p w14:paraId="01C372EC" w14:textId="77777777" w:rsidR="005167FD" w:rsidRPr="00BA64FA" w:rsidRDefault="005167FD" w:rsidP="00D22252">
            <w:pPr>
              <w:keepNext/>
              <w:keepLines/>
              <w:spacing w:before="120" w:after="120"/>
              <w:rPr>
                <w:color w:val="000000" w:themeColor="text1"/>
                <w:sz w:val="16"/>
                <w:szCs w:val="16"/>
              </w:rPr>
            </w:pPr>
            <w:proofErr w:type="spellStart"/>
            <w:r w:rsidRPr="00BA64FA">
              <w:rPr>
                <w:color w:val="000000" w:themeColor="text1"/>
                <w:sz w:val="16"/>
                <w:szCs w:val="16"/>
              </w:rPr>
              <w:t>stanniohydroxyborane</w:t>
            </w:r>
            <w:proofErr w:type="spellEnd"/>
            <w:r w:rsidRPr="00BA64FA">
              <w:rPr>
                <w:color w:val="000000" w:themeColor="text1"/>
                <w:sz w:val="16"/>
                <w:szCs w:val="16"/>
              </w:rPr>
              <w:t>,</w:t>
            </w:r>
          </w:p>
          <w:p w14:paraId="01C372ED" w14:textId="77777777" w:rsidR="005167FD" w:rsidRPr="00BA64FA" w:rsidRDefault="005167FD" w:rsidP="00D22252">
            <w:pPr>
              <w:keepNext/>
              <w:keepLines/>
              <w:spacing w:before="120" w:after="120"/>
              <w:rPr>
                <w:color w:val="000000" w:themeColor="text1"/>
                <w:sz w:val="16"/>
                <w:szCs w:val="16"/>
              </w:rPr>
            </w:pPr>
            <w:r w:rsidRPr="00BA64FA">
              <w:rPr>
                <w:color w:val="000000" w:themeColor="text1"/>
                <w:sz w:val="16"/>
                <w:szCs w:val="16"/>
              </w:rPr>
              <w:t xml:space="preserve">[Dibutyltin hydrogen borate </w:t>
            </w:r>
          </w:p>
          <w:p w14:paraId="01C372EE" w14:textId="77777777" w:rsidR="005167FD" w:rsidRPr="00BA64FA" w:rsidRDefault="005167FD" w:rsidP="00D22252">
            <w:pPr>
              <w:keepNext/>
              <w:keepLines/>
              <w:spacing w:before="120" w:after="120"/>
              <w:rPr>
                <w:color w:val="000000" w:themeColor="text1"/>
                <w:sz w:val="16"/>
                <w:szCs w:val="16"/>
              </w:rPr>
            </w:pPr>
            <w:r>
              <w:rPr>
                <w:color w:val="000000" w:themeColor="text1"/>
                <w:sz w:val="16"/>
                <w:szCs w:val="16"/>
              </w:rPr>
              <w:t>C8H19BO3</w:t>
            </w:r>
            <w:r w:rsidRPr="00BA64FA">
              <w:rPr>
                <w:color w:val="000000" w:themeColor="text1"/>
                <w:sz w:val="16"/>
                <w:szCs w:val="16"/>
              </w:rPr>
              <w:t>Sn (DBB)]</w:t>
            </w:r>
          </w:p>
        </w:tc>
        <w:tc>
          <w:tcPr>
            <w:tcW w:w="1350" w:type="dxa"/>
          </w:tcPr>
          <w:p w14:paraId="01C372EF" w14:textId="77777777" w:rsidR="005167FD" w:rsidRPr="00BA64FA" w:rsidRDefault="005167FD" w:rsidP="00D22252">
            <w:pPr>
              <w:keepNext/>
              <w:keepLines/>
              <w:spacing w:before="120" w:after="120"/>
              <w:jc w:val="center"/>
              <w:rPr>
                <w:color w:val="000000" w:themeColor="text1"/>
                <w:sz w:val="16"/>
                <w:szCs w:val="16"/>
              </w:rPr>
            </w:pPr>
            <w:r w:rsidRPr="00BA64FA">
              <w:rPr>
                <w:color w:val="000000" w:themeColor="text1"/>
                <w:sz w:val="16"/>
                <w:szCs w:val="16"/>
              </w:rPr>
              <w:t>75113-37-0</w:t>
            </w:r>
          </w:p>
        </w:tc>
        <w:tc>
          <w:tcPr>
            <w:tcW w:w="3621" w:type="dxa"/>
          </w:tcPr>
          <w:p w14:paraId="01C372F0" w14:textId="77777777" w:rsidR="005167FD" w:rsidRPr="00BA64FA" w:rsidRDefault="005167FD" w:rsidP="00D22252">
            <w:pPr>
              <w:keepNext/>
              <w:keepLines/>
              <w:spacing w:before="120" w:after="120"/>
              <w:rPr>
                <w:color w:val="000000" w:themeColor="text1"/>
                <w:sz w:val="16"/>
                <w:szCs w:val="16"/>
              </w:rPr>
            </w:pPr>
            <w:r w:rsidRPr="00BA64FA">
              <w:rPr>
                <w:color w:val="000000" w:themeColor="text1"/>
                <w:sz w:val="16"/>
                <w:szCs w:val="16"/>
              </w:rPr>
              <w:t>Must not be used in preparations at &gt; 0.1% (1000 ppm).</w:t>
            </w:r>
          </w:p>
        </w:tc>
        <w:tc>
          <w:tcPr>
            <w:tcW w:w="2425" w:type="dxa"/>
          </w:tcPr>
          <w:p w14:paraId="01C372F1" w14:textId="40ABC4E0" w:rsidR="005167FD" w:rsidRPr="00BA64FA" w:rsidRDefault="005167FD" w:rsidP="00D22252">
            <w:pPr>
              <w:keepNext/>
              <w:keepLines/>
              <w:spacing w:before="120" w:after="120"/>
              <w:rPr>
                <w:color w:val="000000" w:themeColor="text1"/>
                <w:sz w:val="16"/>
                <w:szCs w:val="16"/>
              </w:rPr>
            </w:pPr>
            <w:r w:rsidRPr="00BA64FA">
              <w:rPr>
                <w:color w:val="000000" w:themeColor="text1"/>
                <w:sz w:val="16"/>
                <w:szCs w:val="16"/>
              </w:rPr>
              <w:t xml:space="preserve">EU - Regulation EC 1907/2006 </w:t>
            </w:r>
            <w:r w:rsidR="00380FE2" w:rsidRPr="00380FE2">
              <w:rPr>
                <w:color w:val="000000" w:themeColor="text1"/>
                <w:sz w:val="16"/>
                <w:szCs w:val="16"/>
              </w:rPr>
              <w:t xml:space="preserve">Annex 17 </w:t>
            </w:r>
            <w:r w:rsidRPr="00BA64FA">
              <w:rPr>
                <w:color w:val="000000" w:themeColor="text1"/>
                <w:sz w:val="16"/>
                <w:szCs w:val="16"/>
              </w:rPr>
              <w:t>and its amendments</w:t>
            </w:r>
          </w:p>
        </w:tc>
      </w:tr>
      <w:tr w:rsidR="007C7A31" w:rsidRPr="00BA64FA" w14:paraId="3E1A1D82" w14:textId="77777777" w:rsidTr="006F364B">
        <w:tblPrEx>
          <w:jc w:val="center"/>
          <w:tblInd w:w="0" w:type="dxa"/>
          <w:tblCellMar>
            <w:left w:w="115" w:type="dxa"/>
            <w:right w:w="115" w:type="dxa"/>
          </w:tblCellMar>
        </w:tblPrEx>
        <w:trPr>
          <w:gridAfter w:val="1"/>
          <w:wAfter w:w="7" w:type="dxa"/>
          <w:cantSplit/>
          <w:jc w:val="center"/>
        </w:trPr>
        <w:tc>
          <w:tcPr>
            <w:tcW w:w="2146" w:type="dxa"/>
            <w:gridSpan w:val="2"/>
          </w:tcPr>
          <w:p w14:paraId="7745CBEB" w14:textId="18809A78" w:rsidR="007C7A31" w:rsidRPr="00BA64FA" w:rsidRDefault="007C7A31" w:rsidP="00D22252">
            <w:pPr>
              <w:keepNext/>
              <w:keepLines/>
              <w:spacing w:before="120" w:after="120"/>
              <w:rPr>
                <w:color w:val="000000" w:themeColor="text1"/>
                <w:sz w:val="16"/>
                <w:szCs w:val="16"/>
              </w:rPr>
            </w:pPr>
            <w:proofErr w:type="spellStart"/>
            <w:r w:rsidRPr="007C7A31">
              <w:rPr>
                <w:color w:val="000000" w:themeColor="text1"/>
                <w:sz w:val="16"/>
                <w:szCs w:val="16"/>
              </w:rPr>
              <w:lastRenderedPageBreak/>
              <w:t>Dioctyltin</w:t>
            </w:r>
            <w:proofErr w:type="spellEnd"/>
            <w:r w:rsidRPr="007C7A31">
              <w:rPr>
                <w:color w:val="000000" w:themeColor="text1"/>
                <w:sz w:val="16"/>
                <w:szCs w:val="16"/>
              </w:rPr>
              <w:t xml:space="preserve"> dilaurate, </w:t>
            </w:r>
            <w:proofErr w:type="spellStart"/>
            <w:r w:rsidRPr="007C7A31">
              <w:rPr>
                <w:color w:val="000000" w:themeColor="text1"/>
                <w:sz w:val="16"/>
                <w:szCs w:val="16"/>
              </w:rPr>
              <w:t>stannane</w:t>
            </w:r>
            <w:proofErr w:type="spellEnd"/>
            <w:r w:rsidRPr="007C7A31">
              <w:rPr>
                <w:color w:val="000000" w:themeColor="text1"/>
                <w:sz w:val="16"/>
                <w:szCs w:val="16"/>
              </w:rPr>
              <w:t xml:space="preserve">, dioctyl-, </w:t>
            </w:r>
            <w:proofErr w:type="spellStart"/>
            <w:proofErr w:type="gramStart"/>
            <w:r w:rsidRPr="007C7A31">
              <w:rPr>
                <w:color w:val="000000" w:themeColor="text1"/>
                <w:sz w:val="16"/>
                <w:szCs w:val="16"/>
              </w:rPr>
              <w:t>bis</w:t>
            </w:r>
            <w:proofErr w:type="spellEnd"/>
            <w:r w:rsidRPr="007C7A31">
              <w:rPr>
                <w:color w:val="000000" w:themeColor="text1"/>
                <w:sz w:val="16"/>
                <w:szCs w:val="16"/>
              </w:rPr>
              <w:t>(</w:t>
            </w:r>
            <w:proofErr w:type="gramEnd"/>
            <w:r w:rsidRPr="007C7A31">
              <w:rPr>
                <w:color w:val="000000" w:themeColor="text1"/>
                <w:sz w:val="16"/>
                <w:szCs w:val="16"/>
              </w:rPr>
              <w:t xml:space="preserve">coco acyloxy) </w:t>
            </w:r>
            <w:proofErr w:type="spellStart"/>
            <w:r w:rsidRPr="007C7A31">
              <w:rPr>
                <w:color w:val="000000" w:themeColor="text1"/>
                <w:sz w:val="16"/>
                <w:szCs w:val="16"/>
              </w:rPr>
              <w:t>derivs</w:t>
            </w:r>
            <w:proofErr w:type="spellEnd"/>
            <w:r w:rsidRPr="007C7A31">
              <w:rPr>
                <w:color w:val="000000" w:themeColor="text1"/>
                <w:sz w:val="16"/>
                <w:szCs w:val="16"/>
              </w:rPr>
              <w:t xml:space="preserve">., and any other </w:t>
            </w:r>
            <w:proofErr w:type="spellStart"/>
            <w:r w:rsidRPr="007C7A31">
              <w:rPr>
                <w:color w:val="000000" w:themeColor="text1"/>
                <w:sz w:val="16"/>
                <w:szCs w:val="16"/>
              </w:rPr>
              <w:t>stannane</w:t>
            </w:r>
            <w:proofErr w:type="spellEnd"/>
            <w:r w:rsidRPr="007C7A31">
              <w:rPr>
                <w:color w:val="000000" w:themeColor="text1"/>
                <w:sz w:val="16"/>
                <w:szCs w:val="16"/>
              </w:rPr>
              <w:t xml:space="preserve">, dioctyl-, </w:t>
            </w:r>
            <w:proofErr w:type="spellStart"/>
            <w:r w:rsidRPr="007C7A31">
              <w:rPr>
                <w:color w:val="000000" w:themeColor="text1"/>
                <w:sz w:val="16"/>
                <w:szCs w:val="16"/>
              </w:rPr>
              <w:t>bis</w:t>
            </w:r>
            <w:proofErr w:type="spellEnd"/>
            <w:r w:rsidRPr="007C7A31">
              <w:rPr>
                <w:color w:val="000000" w:themeColor="text1"/>
                <w:sz w:val="16"/>
                <w:szCs w:val="16"/>
              </w:rPr>
              <w:t xml:space="preserve">(fatty acyloxy) </w:t>
            </w:r>
            <w:proofErr w:type="spellStart"/>
            <w:r w:rsidRPr="007C7A31">
              <w:rPr>
                <w:color w:val="000000" w:themeColor="text1"/>
                <w:sz w:val="16"/>
                <w:szCs w:val="16"/>
              </w:rPr>
              <w:t>derivs</w:t>
            </w:r>
            <w:proofErr w:type="spellEnd"/>
            <w:r w:rsidRPr="007C7A31">
              <w:rPr>
                <w:color w:val="000000" w:themeColor="text1"/>
                <w:sz w:val="16"/>
                <w:szCs w:val="16"/>
              </w:rPr>
              <w:t>. wherein C12 is the predominant carbon number of the fatty acyloxy moiety</w:t>
            </w:r>
          </w:p>
        </w:tc>
        <w:tc>
          <w:tcPr>
            <w:tcW w:w="1350" w:type="dxa"/>
          </w:tcPr>
          <w:p w14:paraId="4BACF29A" w14:textId="4A6A24BB" w:rsidR="007C7A31" w:rsidRPr="00BA64FA" w:rsidRDefault="006F364B" w:rsidP="00D22252">
            <w:pPr>
              <w:keepNext/>
              <w:keepLines/>
              <w:spacing w:before="120" w:after="120"/>
              <w:jc w:val="center"/>
              <w:rPr>
                <w:color w:val="000000" w:themeColor="text1"/>
                <w:sz w:val="16"/>
                <w:szCs w:val="16"/>
              </w:rPr>
            </w:pPr>
            <w:r>
              <w:rPr>
                <w:color w:val="000000" w:themeColor="text1"/>
                <w:sz w:val="16"/>
                <w:szCs w:val="16"/>
              </w:rPr>
              <w:t>_</w:t>
            </w:r>
          </w:p>
        </w:tc>
        <w:tc>
          <w:tcPr>
            <w:tcW w:w="3621" w:type="dxa"/>
          </w:tcPr>
          <w:p w14:paraId="44E3DE14" w14:textId="43F9B31E" w:rsidR="007C7A31" w:rsidRPr="00BA64FA" w:rsidRDefault="007C7A31" w:rsidP="00D22252">
            <w:pPr>
              <w:keepNext/>
              <w:keepLines/>
              <w:spacing w:before="120" w:after="120"/>
              <w:rPr>
                <w:color w:val="000000" w:themeColor="text1"/>
                <w:sz w:val="16"/>
                <w:szCs w:val="16"/>
              </w:rPr>
            </w:pPr>
            <w:proofErr w:type="spellStart"/>
            <w:r>
              <w:rPr>
                <w:color w:val="000000" w:themeColor="text1"/>
                <w:sz w:val="16"/>
                <w:szCs w:val="16"/>
              </w:rPr>
              <w:t>C</w:t>
            </w:r>
            <w:r w:rsidRPr="007C7A31">
              <w:rPr>
                <w:color w:val="000000" w:themeColor="text1"/>
                <w:sz w:val="16"/>
                <w:szCs w:val="16"/>
              </w:rPr>
              <w:t xml:space="preserve">ommonly </w:t>
            </w:r>
            <w:proofErr w:type="spellEnd"/>
            <w:r w:rsidRPr="007C7A31">
              <w:rPr>
                <w:color w:val="000000" w:themeColor="text1"/>
                <w:sz w:val="16"/>
                <w:szCs w:val="16"/>
              </w:rPr>
              <w:t>used as a stabilizer and catalyst in substances such as paints, coatings, inks, sealants and is likely to be present in the final material at &gt;0.1% but may be below the 0.1% threshold in articles due to the consideration of coating thickness in comparison with the overall object. Other uses also include PVC stabilizer particularly in rigid, transparent applications.</w:t>
            </w:r>
          </w:p>
        </w:tc>
        <w:tc>
          <w:tcPr>
            <w:tcW w:w="2425" w:type="dxa"/>
          </w:tcPr>
          <w:p w14:paraId="74CB80D3" w14:textId="3819C86A" w:rsidR="007C7A31" w:rsidRPr="00BA64FA" w:rsidRDefault="007C7A31" w:rsidP="00D22252">
            <w:pPr>
              <w:keepNext/>
              <w:keepLines/>
              <w:spacing w:before="120" w:after="120"/>
              <w:rPr>
                <w:color w:val="000000" w:themeColor="text1"/>
                <w:sz w:val="16"/>
                <w:szCs w:val="16"/>
              </w:rPr>
            </w:pPr>
            <w:r w:rsidRPr="007C7A31">
              <w:rPr>
                <w:color w:val="000000" w:themeColor="text1"/>
                <w:sz w:val="16"/>
                <w:szCs w:val="16"/>
              </w:rPr>
              <w:t>EU – Regulation EC 1907/2006 Annex 17 and its amendments</w:t>
            </w:r>
          </w:p>
        </w:tc>
      </w:tr>
      <w:tr w:rsidR="005167FD" w:rsidRPr="003427E4" w14:paraId="01C372F9" w14:textId="77777777" w:rsidTr="006F364B">
        <w:tblPrEx>
          <w:jc w:val="center"/>
          <w:tblInd w:w="0" w:type="dxa"/>
          <w:tblCellMar>
            <w:left w:w="115" w:type="dxa"/>
            <w:right w:w="115" w:type="dxa"/>
          </w:tblCellMar>
        </w:tblPrEx>
        <w:trPr>
          <w:gridAfter w:val="1"/>
          <w:wAfter w:w="7" w:type="dxa"/>
          <w:cantSplit/>
          <w:jc w:val="center"/>
        </w:trPr>
        <w:tc>
          <w:tcPr>
            <w:tcW w:w="2146" w:type="dxa"/>
            <w:gridSpan w:val="2"/>
          </w:tcPr>
          <w:p w14:paraId="01C372F3" w14:textId="77777777" w:rsidR="005167FD" w:rsidRPr="00E5181A" w:rsidRDefault="005167FD" w:rsidP="00D22252">
            <w:pPr>
              <w:keepNext/>
              <w:keepLines/>
              <w:spacing w:before="120" w:after="120"/>
              <w:rPr>
                <w:color w:val="000000" w:themeColor="text1"/>
                <w:sz w:val="16"/>
                <w:szCs w:val="16"/>
              </w:rPr>
            </w:pPr>
            <w:r w:rsidRPr="00E5181A">
              <w:rPr>
                <w:color w:val="000000" w:themeColor="text1"/>
                <w:sz w:val="16"/>
                <w:szCs w:val="16"/>
              </w:rPr>
              <w:t>Fluorinated Greenhouse Gases (PFCs, SF6, HFCs)</w:t>
            </w:r>
          </w:p>
        </w:tc>
        <w:tc>
          <w:tcPr>
            <w:tcW w:w="1350" w:type="dxa"/>
          </w:tcPr>
          <w:p w14:paraId="01C372F4" w14:textId="77777777" w:rsidR="005167FD" w:rsidRPr="00E5181A" w:rsidRDefault="005167FD" w:rsidP="00D22252">
            <w:pPr>
              <w:keepNext/>
              <w:keepLines/>
              <w:spacing w:before="120" w:after="120"/>
              <w:jc w:val="center"/>
              <w:rPr>
                <w:color w:val="000000" w:themeColor="text1"/>
                <w:sz w:val="16"/>
                <w:szCs w:val="16"/>
              </w:rPr>
            </w:pPr>
            <w:r w:rsidRPr="00E5181A">
              <w:rPr>
                <w:color w:val="000000" w:themeColor="text1"/>
                <w:sz w:val="16"/>
                <w:szCs w:val="16"/>
              </w:rPr>
              <w:t>See references</w:t>
            </w:r>
          </w:p>
        </w:tc>
        <w:tc>
          <w:tcPr>
            <w:tcW w:w="3621" w:type="dxa"/>
          </w:tcPr>
          <w:p w14:paraId="01C372F5" w14:textId="77777777" w:rsidR="005167FD" w:rsidRPr="00E5181A" w:rsidRDefault="005167FD" w:rsidP="00D22252">
            <w:pPr>
              <w:pStyle w:val="sBullet"/>
              <w:numPr>
                <w:ilvl w:val="0"/>
                <w:numId w:val="0"/>
              </w:numPr>
              <w:spacing w:before="120" w:after="120"/>
              <w:contextualSpacing w:val="0"/>
            </w:pPr>
            <w:r w:rsidRPr="00E5181A">
              <w:t>Specified fluorinated gases not to be used.</w:t>
            </w:r>
          </w:p>
        </w:tc>
        <w:tc>
          <w:tcPr>
            <w:tcW w:w="2425" w:type="dxa"/>
          </w:tcPr>
          <w:p w14:paraId="01C372F6" w14:textId="77777777" w:rsidR="005167FD" w:rsidRPr="00E5181A" w:rsidRDefault="005167FD" w:rsidP="00D22252">
            <w:pPr>
              <w:pStyle w:val="sBullet"/>
              <w:numPr>
                <w:ilvl w:val="0"/>
                <w:numId w:val="0"/>
              </w:numPr>
              <w:spacing w:before="120" w:after="120"/>
              <w:contextualSpacing w:val="0"/>
            </w:pPr>
            <w:r w:rsidRPr="00E5181A">
              <w:t>EU – Regulation EC 842/2006 and its amendments</w:t>
            </w:r>
          </w:p>
          <w:p w14:paraId="01C372F7" w14:textId="77777777" w:rsidR="005167FD" w:rsidRPr="00E5181A" w:rsidRDefault="005167FD" w:rsidP="00D22252">
            <w:pPr>
              <w:pStyle w:val="sBullet"/>
              <w:numPr>
                <w:ilvl w:val="0"/>
                <w:numId w:val="0"/>
              </w:numPr>
              <w:spacing w:before="120" w:after="120"/>
              <w:contextualSpacing w:val="0"/>
            </w:pPr>
            <w:r w:rsidRPr="00E5181A">
              <w:t>Denmark – Statutory Order No. 552</w:t>
            </w:r>
          </w:p>
          <w:p w14:paraId="01C372F8" w14:textId="77777777" w:rsidR="005167FD" w:rsidRPr="00E5181A" w:rsidRDefault="005167FD" w:rsidP="00D22252">
            <w:pPr>
              <w:pStyle w:val="sBullet"/>
              <w:numPr>
                <w:ilvl w:val="0"/>
                <w:numId w:val="0"/>
              </w:numPr>
              <w:spacing w:before="120" w:after="120"/>
              <w:contextualSpacing w:val="0"/>
            </w:pPr>
            <w:r w:rsidRPr="00E5181A">
              <w:t>Switzerland – Ordinance on Risk Reduction related to Chemical Products (</w:t>
            </w:r>
            <w:proofErr w:type="spellStart"/>
            <w:r w:rsidRPr="00E5181A">
              <w:t>ORRChem</w:t>
            </w:r>
            <w:proofErr w:type="spellEnd"/>
            <w:r w:rsidRPr="00E5181A">
              <w:t>)</w:t>
            </w:r>
          </w:p>
        </w:tc>
      </w:tr>
      <w:tr w:rsidR="005167FD" w:rsidRPr="003427E4" w14:paraId="01C37302" w14:textId="77777777" w:rsidTr="006F364B">
        <w:trPr>
          <w:gridBefore w:val="1"/>
          <w:wBefore w:w="9" w:type="dxa"/>
          <w:cantSplit/>
        </w:trPr>
        <w:tc>
          <w:tcPr>
            <w:tcW w:w="2137" w:type="dxa"/>
          </w:tcPr>
          <w:p w14:paraId="01C372FA" w14:textId="77777777" w:rsidR="005167FD" w:rsidRPr="00E5181A" w:rsidRDefault="005167FD" w:rsidP="00D22252">
            <w:pPr>
              <w:keepNext/>
              <w:keepLines/>
              <w:spacing w:before="120" w:after="120"/>
              <w:rPr>
                <w:color w:val="000000" w:themeColor="text1"/>
                <w:sz w:val="16"/>
                <w:szCs w:val="16"/>
              </w:rPr>
            </w:pPr>
            <w:r w:rsidRPr="00E5181A">
              <w:rPr>
                <w:color w:val="000000" w:themeColor="text1"/>
                <w:sz w:val="16"/>
                <w:szCs w:val="16"/>
              </w:rPr>
              <w:t>Formaldehyde</w:t>
            </w:r>
          </w:p>
        </w:tc>
        <w:tc>
          <w:tcPr>
            <w:tcW w:w="1350" w:type="dxa"/>
          </w:tcPr>
          <w:p w14:paraId="01C372FB" w14:textId="77777777" w:rsidR="005167FD" w:rsidRPr="00E5181A" w:rsidRDefault="005167FD" w:rsidP="00D22252">
            <w:pPr>
              <w:keepNext/>
              <w:keepLines/>
              <w:spacing w:before="120" w:after="120"/>
              <w:jc w:val="center"/>
              <w:rPr>
                <w:color w:val="000000" w:themeColor="text1"/>
                <w:sz w:val="16"/>
                <w:szCs w:val="16"/>
              </w:rPr>
            </w:pPr>
            <w:r w:rsidRPr="00E5181A">
              <w:rPr>
                <w:color w:val="000000" w:themeColor="text1"/>
                <w:sz w:val="16"/>
                <w:szCs w:val="16"/>
              </w:rPr>
              <w:t>50-00-0</w:t>
            </w:r>
          </w:p>
        </w:tc>
        <w:tc>
          <w:tcPr>
            <w:tcW w:w="3621" w:type="dxa"/>
          </w:tcPr>
          <w:p w14:paraId="01C372FC" w14:textId="77777777" w:rsidR="005167FD" w:rsidRPr="00E5181A" w:rsidRDefault="005167FD" w:rsidP="00D22252">
            <w:pPr>
              <w:pStyle w:val="sBullet"/>
              <w:numPr>
                <w:ilvl w:val="0"/>
                <w:numId w:val="0"/>
              </w:numPr>
              <w:spacing w:before="120" w:after="120"/>
              <w:contextualSpacing w:val="0"/>
            </w:pPr>
            <w:r w:rsidRPr="00E5181A">
              <w:t xml:space="preserve">Not to be used in wood products, minimal use in textiles - less than 0.075% (75 ppm). </w:t>
            </w:r>
          </w:p>
          <w:p w14:paraId="01C372FD" w14:textId="77777777" w:rsidR="005167FD" w:rsidRPr="00E5181A" w:rsidRDefault="005167FD" w:rsidP="00D22252">
            <w:pPr>
              <w:pStyle w:val="sBullet"/>
              <w:numPr>
                <w:ilvl w:val="0"/>
                <w:numId w:val="0"/>
              </w:numPr>
              <w:spacing w:before="120" w:after="120"/>
              <w:contextualSpacing w:val="0"/>
            </w:pPr>
            <w:r w:rsidRPr="00E5181A">
              <w:t>Not to be used if greater than 0.00001% (0.1 ppm) concentration release into the air under reasonable circumstances.</w:t>
            </w:r>
          </w:p>
        </w:tc>
        <w:tc>
          <w:tcPr>
            <w:tcW w:w="2432" w:type="dxa"/>
            <w:gridSpan w:val="2"/>
          </w:tcPr>
          <w:p w14:paraId="01C372FE" w14:textId="77777777" w:rsidR="005167FD" w:rsidRPr="00E5181A" w:rsidRDefault="005167FD" w:rsidP="00D22252">
            <w:pPr>
              <w:pStyle w:val="sBullet"/>
              <w:numPr>
                <w:ilvl w:val="0"/>
                <w:numId w:val="0"/>
              </w:numPr>
              <w:spacing w:before="120" w:after="120"/>
              <w:contextualSpacing w:val="0"/>
            </w:pPr>
            <w:r w:rsidRPr="00E5181A">
              <w:t>Germany – Chemicals Prohibition Ordinance (</w:t>
            </w:r>
            <w:proofErr w:type="spellStart"/>
            <w:r w:rsidRPr="00E5181A">
              <w:t>ChemVerbotsV</w:t>
            </w:r>
            <w:proofErr w:type="spellEnd"/>
            <w:r w:rsidRPr="00E5181A">
              <w:t>)</w:t>
            </w:r>
          </w:p>
          <w:p w14:paraId="01C372FF" w14:textId="77777777" w:rsidR="005167FD" w:rsidRPr="00E5181A" w:rsidRDefault="005167FD" w:rsidP="00D22252">
            <w:pPr>
              <w:pStyle w:val="sBullet"/>
              <w:numPr>
                <w:ilvl w:val="0"/>
                <w:numId w:val="0"/>
              </w:numPr>
              <w:spacing w:before="120" w:after="120"/>
              <w:contextualSpacing w:val="0"/>
            </w:pPr>
            <w:r w:rsidRPr="00E5181A">
              <w:t>Denmark – Statutory Order No. 289 and its amendments</w:t>
            </w:r>
          </w:p>
          <w:p w14:paraId="01C37300" w14:textId="77777777" w:rsidR="005167FD" w:rsidRPr="00E5181A" w:rsidRDefault="005167FD" w:rsidP="00D22252">
            <w:pPr>
              <w:pStyle w:val="sBullet"/>
              <w:numPr>
                <w:ilvl w:val="0"/>
                <w:numId w:val="0"/>
              </w:numPr>
              <w:spacing w:before="120" w:after="120"/>
              <w:contextualSpacing w:val="0"/>
            </w:pPr>
            <w:r w:rsidRPr="00E5181A">
              <w:t>Netherlands – Decision of March 22, 2001, laying down the Commodities Decision Formaldehyde in Textiles</w:t>
            </w:r>
          </w:p>
          <w:p w14:paraId="01C37301" w14:textId="77777777" w:rsidR="005167FD" w:rsidRPr="00E5181A" w:rsidRDefault="005167FD" w:rsidP="00D22252">
            <w:pPr>
              <w:pStyle w:val="sBullet"/>
              <w:numPr>
                <w:ilvl w:val="0"/>
                <w:numId w:val="0"/>
              </w:numPr>
              <w:spacing w:before="120" w:after="120"/>
              <w:contextualSpacing w:val="0"/>
            </w:pPr>
            <w:r w:rsidRPr="00E5181A">
              <w:t xml:space="preserve">Austria – BGB I 1990/94; </w:t>
            </w:r>
            <w:proofErr w:type="spellStart"/>
            <w:r w:rsidRPr="00E5181A">
              <w:t>Formaldehydeverordnung</w:t>
            </w:r>
            <w:proofErr w:type="spellEnd"/>
            <w:r w:rsidRPr="00E5181A">
              <w:t>, 2, 12/2/1990</w:t>
            </w:r>
          </w:p>
        </w:tc>
      </w:tr>
      <w:tr w:rsidR="005167FD" w:rsidRPr="008F266A" w14:paraId="01C37318" w14:textId="77777777" w:rsidTr="006F364B">
        <w:tblPrEx>
          <w:jc w:val="center"/>
          <w:tblInd w:w="0" w:type="dxa"/>
          <w:tblCellMar>
            <w:left w:w="115" w:type="dxa"/>
            <w:right w:w="115" w:type="dxa"/>
          </w:tblCellMar>
        </w:tblPrEx>
        <w:trPr>
          <w:gridAfter w:val="1"/>
          <w:wAfter w:w="7" w:type="dxa"/>
          <w:cantSplit/>
          <w:jc w:val="center"/>
        </w:trPr>
        <w:tc>
          <w:tcPr>
            <w:tcW w:w="2146" w:type="dxa"/>
            <w:gridSpan w:val="2"/>
          </w:tcPr>
          <w:p w14:paraId="01C37303" w14:textId="77777777" w:rsidR="005167FD" w:rsidRPr="00E5181A" w:rsidRDefault="005167FD" w:rsidP="00D22252">
            <w:pPr>
              <w:keepNext/>
              <w:keepLines/>
              <w:spacing w:before="120" w:after="120"/>
              <w:rPr>
                <w:color w:val="000000" w:themeColor="text1"/>
                <w:sz w:val="16"/>
                <w:szCs w:val="16"/>
              </w:rPr>
            </w:pPr>
            <w:r w:rsidRPr="00E5181A">
              <w:rPr>
                <w:color w:val="000000" w:themeColor="text1"/>
                <w:sz w:val="16"/>
                <w:szCs w:val="16"/>
              </w:rPr>
              <w:t>Halogens:</w:t>
            </w:r>
          </w:p>
          <w:p w14:paraId="01C37304" w14:textId="77777777" w:rsidR="005167FD" w:rsidRPr="00E5181A" w:rsidRDefault="005167FD" w:rsidP="00D22252">
            <w:pPr>
              <w:pStyle w:val="sBullet"/>
              <w:numPr>
                <w:ilvl w:val="0"/>
                <w:numId w:val="0"/>
              </w:numPr>
              <w:spacing w:before="120" w:after="120"/>
              <w:ind w:left="340"/>
              <w:contextualSpacing w:val="0"/>
            </w:pPr>
            <w:r w:rsidRPr="00E5181A">
              <w:t>Bromine</w:t>
            </w:r>
          </w:p>
          <w:p w14:paraId="01C37305" w14:textId="77777777" w:rsidR="005167FD" w:rsidRPr="00E5181A" w:rsidRDefault="005167FD" w:rsidP="00D22252">
            <w:pPr>
              <w:pStyle w:val="sBullet"/>
              <w:numPr>
                <w:ilvl w:val="0"/>
                <w:numId w:val="0"/>
              </w:numPr>
              <w:spacing w:before="120" w:after="120"/>
              <w:ind w:left="340"/>
              <w:contextualSpacing w:val="0"/>
            </w:pPr>
            <w:r w:rsidRPr="00E5181A">
              <w:t>Chlorine</w:t>
            </w:r>
          </w:p>
          <w:p w14:paraId="01C37306" w14:textId="77777777" w:rsidR="005167FD" w:rsidRPr="00E5181A" w:rsidRDefault="005167FD" w:rsidP="00D22252">
            <w:pPr>
              <w:pStyle w:val="sBullet"/>
              <w:numPr>
                <w:ilvl w:val="0"/>
                <w:numId w:val="0"/>
              </w:numPr>
              <w:spacing w:before="120" w:after="120"/>
              <w:ind w:left="340"/>
              <w:contextualSpacing w:val="0"/>
            </w:pPr>
            <w:r w:rsidRPr="00E5181A">
              <w:t>Fluorine</w:t>
            </w:r>
          </w:p>
          <w:p w14:paraId="01C37307" w14:textId="77777777" w:rsidR="005167FD" w:rsidRPr="00E5181A" w:rsidRDefault="005167FD" w:rsidP="00D22252">
            <w:pPr>
              <w:pStyle w:val="sBullet"/>
              <w:numPr>
                <w:ilvl w:val="0"/>
                <w:numId w:val="0"/>
              </w:numPr>
              <w:spacing w:before="120" w:after="120"/>
              <w:ind w:left="340"/>
              <w:contextualSpacing w:val="0"/>
            </w:pPr>
            <w:r w:rsidRPr="00E5181A">
              <w:t>Iodine</w:t>
            </w:r>
          </w:p>
          <w:p w14:paraId="01C37308" w14:textId="77777777" w:rsidR="005167FD" w:rsidRPr="00E5181A" w:rsidRDefault="005167FD" w:rsidP="00D22252">
            <w:pPr>
              <w:pStyle w:val="sBullet"/>
              <w:numPr>
                <w:ilvl w:val="0"/>
                <w:numId w:val="0"/>
              </w:numPr>
              <w:spacing w:before="120" w:after="120"/>
              <w:ind w:left="340"/>
              <w:contextualSpacing w:val="0"/>
            </w:pPr>
            <w:r w:rsidRPr="00E5181A">
              <w:t>Astatine</w:t>
            </w:r>
          </w:p>
        </w:tc>
        <w:tc>
          <w:tcPr>
            <w:tcW w:w="1350" w:type="dxa"/>
          </w:tcPr>
          <w:p w14:paraId="01C37309" w14:textId="77777777" w:rsidR="005167FD" w:rsidRPr="00E5181A" w:rsidRDefault="005167FD" w:rsidP="00D22252">
            <w:pPr>
              <w:keepNext/>
              <w:keepLines/>
              <w:spacing w:before="120" w:after="120"/>
              <w:jc w:val="center"/>
              <w:rPr>
                <w:color w:val="000000" w:themeColor="text1"/>
                <w:sz w:val="16"/>
                <w:szCs w:val="16"/>
              </w:rPr>
            </w:pPr>
            <w:r w:rsidRPr="00E5181A">
              <w:rPr>
                <w:color w:val="000000" w:themeColor="text1"/>
                <w:sz w:val="16"/>
                <w:szCs w:val="16"/>
              </w:rPr>
              <w:t>-</w:t>
            </w:r>
          </w:p>
          <w:p w14:paraId="01C3730A" w14:textId="77777777" w:rsidR="005167FD" w:rsidRPr="00E5181A" w:rsidRDefault="005167FD" w:rsidP="00D22252">
            <w:pPr>
              <w:keepNext/>
              <w:keepLines/>
              <w:spacing w:before="120" w:after="120"/>
              <w:jc w:val="center"/>
              <w:rPr>
                <w:color w:val="000000" w:themeColor="text1"/>
                <w:sz w:val="16"/>
                <w:szCs w:val="16"/>
              </w:rPr>
            </w:pPr>
            <w:r w:rsidRPr="00E5181A">
              <w:rPr>
                <w:color w:val="000000" w:themeColor="text1"/>
                <w:sz w:val="16"/>
                <w:szCs w:val="16"/>
              </w:rPr>
              <w:t>7726-95-6</w:t>
            </w:r>
          </w:p>
          <w:p w14:paraId="01C3730B" w14:textId="77777777" w:rsidR="005167FD" w:rsidRPr="00E5181A" w:rsidRDefault="005167FD" w:rsidP="00D22252">
            <w:pPr>
              <w:keepNext/>
              <w:keepLines/>
              <w:spacing w:before="120" w:after="120"/>
              <w:jc w:val="center"/>
              <w:rPr>
                <w:color w:val="000000" w:themeColor="text1"/>
                <w:sz w:val="16"/>
                <w:szCs w:val="16"/>
              </w:rPr>
            </w:pPr>
            <w:r w:rsidRPr="00E5181A">
              <w:rPr>
                <w:color w:val="000000" w:themeColor="text1"/>
                <w:sz w:val="16"/>
                <w:szCs w:val="16"/>
              </w:rPr>
              <w:t>7782-50-5</w:t>
            </w:r>
          </w:p>
          <w:p w14:paraId="01C3730C" w14:textId="77777777" w:rsidR="005167FD" w:rsidRPr="00E5181A" w:rsidRDefault="005167FD" w:rsidP="00D22252">
            <w:pPr>
              <w:keepNext/>
              <w:keepLines/>
              <w:spacing w:before="120" w:after="120"/>
              <w:jc w:val="center"/>
              <w:rPr>
                <w:color w:val="000000" w:themeColor="text1"/>
                <w:sz w:val="16"/>
                <w:szCs w:val="16"/>
              </w:rPr>
            </w:pPr>
            <w:r w:rsidRPr="00E5181A">
              <w:rPr>
                <w:color w:val="000000" w:themeColor="text1"/>
                <w:sz w:val="16"/>
                <w:szCs w:val="16"/>
              </w:rPr>
              <w:t>7782-41-4</w:t>
            </w:r>
          </w:p>
          <w:p w14:paraId="01C3730D" w14:textId="77777777" w:rsidR="005167FD" w:rsidRPr="00E5181A" w:rsidRDefault="005167FD" w:rsidP="00D22252">
            <w:pPr>
              <w:keepNext/>
              <w:keepLines/>
              <w:spacing w:before="120" w:after="120"/>
              <w:jc w:val="center"/>
              <w:rPr>
                <w:color w:val="000000" w:themeColor="text1"/>
                <w:sz w:val="16"/>
                <w:szCs w:val="16"/>
              </w:rPr>
            </w:pPr>
            <w:r w:rsidRPr="00E5181A">
              <w:rPr>
                <w:color w:val="000000" w:themeColor="text1"/>
                <w:sz w:val="16"/>
                <w:szCs w:val="16"/>
              </w:rPr>
              <w:t>7553-56-2</w:t>
            </w:r>
          </w:p>
          <w:p w14:paraId="01C3730E" w14:textId="77777777" w:rsidR="005167FD" w:rsidRPr="00E5181A" w:rsidRDefault="005167FD" w:rsidP="00D22252">
            <w:pPr>
              <w:keepNext/>
              <w:keepLines/>
              <w:spacing w:before="120" w:after="120"/>
              <w:jc w:val="center"/>
              <w:rPr>
                <w:color w:val="000000" w:themeColor="text1"/>
                <w:sz w:val="16"/>
                <w:szCs w:val="16"/>
              </w:rPr>
            </w:pPr>
            <w:r w:rsidRPr="00E5181A">
              <w:rPr>
                <w:color w:val="000000" w:themeColor="text1"/>
                <w:sz w:val="16"/>
                <w:szCs w:val="16"/>
              </w:rPr>
              <w:t>7440-68-8</w:t>
            </w:r>
          </w:p>
        </w:tc>
        <w:tc>
          <w:tcPr>
            <w:tcW w:w="3621" w:type="dxa"/>
          </w:tcPr>
          <w:p w14:paraId="01C3730F" w14:textId="77777777" w:rsidR="005167FD" w:rsidRPr="00E5181A" w:rsidRDefault="005167FD" w:rsidP="00D22252">
            <w:pPr>
              <w:pStyle w:val="sBullet"/>
              <w:numPr>
                <w:ilvl w:val="0"/>
                <w:numId w:val="0"/>
              </w:numPr>
              <w:spacing w:before="120" w:after="120"/>
              <w:contextualSpacing w:val="0"/>
            </w:pPr>
            <w:r w:rsidRPr="00E5181A">
              <w:t>Use to be avoided in parts, components and materials wherever reasonable alternatives exist.</w:t>
            </w:r>
          </w:p>
          <w:p w14:paraId="01C37310" w14:textId="77777777" w:rsidR="005167FD" w:rsidRPr="00E5181A" w:rsidRDefault="005167FD" w:rsidP="00D22252">
            <w:pPr>
              <w:pStyle w:val="sBullet"/>
              <w:numPr>
                <w:ilvl w:val="0"/>
                <w:numId w:val="0"/>
              </w:numPr>
              <w:spacing w:before="120" w:after="120"/>
              <w:contextualSpacing w:val="0"/>
            </w:pPr>
            <w:r w:rsidRPr="00E5181A">
              <w:t>Typical product halogens of major concern are bromine and chlorine:</w:t>
            </w:r>
          </w:p>
          <w:p w14:paraId="01C37311" w14:textId="77777777" w:rsidR="005167FD" w:rsidRPr="00E5181A" w:rsidRDefault="005167FD" w:rsidP="00D22252">
            <w:pPr>
              <w:pStyle w:val="sBullet"/>
              <w:numPr>
                <w:ilvl w:val="0"/>
                <w:numId w:val="0"/>
              </w:numPr>
              <w:spacing w:before="120" w:after="120"/>
              <w:contextualSpacing w:val="0"/>
            </w:pPr>
            <w:r w:rsidRPr="00E5181A">
              <w:t>No more than 0.09% (900 ppm) of Bromine or Chlorine, or 0.15% (1500 ppm) combined [and each still no more than 0.09% (900 ppm)], allowed in homogenous materials for printed boards or substrates.</w:t>
            </w:r>
          </w:p>
          <w:p w14:paraId="01C37312" w14:textId="77777777" w:rsidR="005167FD" w:rsidRPr="00E5181A" w:rsidRDefault="005167FD" w:rsidP="00D22252">
            <w:pPr>
              <w:pStyle w:val="sBullet"/>
              <w:numPr>
                <w:ilvl w:val="0"/>
                <w:numId w:val="0"/>
              </w:numPr>
              <w:spacing w:before="120" w:after="120"/>
              <w:contextualSpacing w:val="0"/>
            </w:pPr>
            <w:r w:rsidRPr="00E5181A">
              <w:t>No more than 0.1% (1000 ppm) Bromine (from BFRs) or 0.1% (1000 ppm) Chlorine (from CFRs or PVC compounds) allowed in homogenous material in other components to be considered “low-halogen (BFR/CFR/PVC-free)”.</w:t>
            </w:r>
          </w:p>
          <w:p w14:paraId="01C37313" w14:textId="77777777" w:rsidR="005167FD" w:rsidRPr="00E5181A" w:rsidRDefault="005167FD" w:rsidP="00D22252">
            <w:pPr>
              <w:pStyle w:val="sBullet"/>
              <w:numPr>
                <w:ilvl w:val="0"/>
                <w:numId w:val="0"/>
              </w:numPr>
              <w:spacing w:before="120" w:after="120"/>
              <w:contextualSpacing w:val="0"/>
            </w:pPr>
            <w:r w:rsidRPr="00E5181A">
              <w:t>See Brominated Fire Retardants.</w:t>
            </w:r>
          </w:p>
        </w:tc>
        <w:tc>
          <w:tcPr>
            <w:tcW w:w="2425" w:type="dxa"/>
          </w:tcPr>
          <w:p w14:paraId="01C37314" w14:textId="77777777" w:rsidR="005167FD" w:rsidRPr="00E5181A" w:rsidRDefault="005167FD" w:rsidP="00D22252">
            <w:pPr>
              <w:pStyle w:val="sBullet"/>
              <w:numPr>
                <w:ilvl w:val="0"/>
                <w:numId w:val="0"/>
              </w:numPr>
              <w:spacing w:before="120" w:after="120"/>
              <w:contextualSpacing w:val="0"/>
            </w:pPr>
            <w:r w:rsidRPr="00E5181A">
              <w:t xml:space="preserve">Industry Guide - </w:t>
            </w:r>
            <w:proofErr w:type="spellStart"/>
            <w:r w:rsidRPr="00E5181A">
              <w:t>iNEMA</w:t>
            </w:r>
            <w:proofErr w:type="spellEnd"/>
          </w:p>
          <w:p w14:paraId="01C37315" w14:textId="77777777" w:rsidR="005167FD" w:rsidRPr="00E5181A" w:rsidRDefault="005167FD" w:rsidP="00D22252">
            <w:pPr>
              <w:pStyle w:val="sBullet"/>
              <w:numPr>
                <w:ilvl w:val="0"/>
                <w:numId w:val="0"/>
              </w:numPr>
              <w:spacing w:before="120" w:after="120"/>
              <w:contextualSpacing w:val="0"/>
            </w:pPr>
            <w:r w:rsidRPr="00E5181A">
              <w:t>Industry Guide – IPC-4101B</w:t>
            </w:r>
          </w:p>
          <w:p w14:paraId="01C37316" w14:textId="72F691E4" w:rsidR="005167FD" w:rsidRPr="00E5181A" w:rsidRDefault="005167FD" w:rsidP="00D22252">
            <w:pPr>
              <w:pStyle w:val="sBullet"/>
              <w:numPr>
                <w:ilvl w:val="0"/>
                <w:numId w:val="0"/>
              </w:numPr>
              <w:spacing w:before="120" w:after="120"/>
              <w:contextualSpacing w:val="0"/>
            </w:pPr>
            <w:r w:rsidRPr="00E5181A">
              <w:t>Industry Guide –</w:t>
            </w:r>
            <w:r w:rsidR="00C10C50">
              <w:t xml:space="preserve"> </w:t>
            </w:r>
            <w:r w:rsidRPr="00E5181A">
              <w:t>IPC-J-709</w:t>
            </w:r>
          </w:p>
          <w:p w14:paraId="01C37317" w14:textId="64999503" w:rsidR="005167FD" w:rsidRPr="00C10C50" w:rsidRDefault="005167FD" w:rsidP="00D22252">
            <w:pPr>
              <w:pStyle w:val="sBullet"/>
              <w:numPr>
                <w:ilvl w:val="0"/>
                <w:numId w:val="0"/>
              </w:numPr>
              <w:spacing w:before="120" w:after="120"/>
              <w:contextualSpacing w:val="0"/>
            </w:pPr>
            <w:r w:rsidRPr="00C10C50">
              <w:t>Industry Guide –</w:t>
            </w:r>
            <w:r w:rsidR="00C10C50">
              <w:t xml:space="preserve"> </w:t>
            </w:r>
            <w:r w:rsidRPr="00C10C50">
              <w:t>IEC61249-2-21</w:t>
            </w:r>
          </w:p>
        </w:tc>
      </w:tr>
      <w:tr w:rsidR="005167FD" w:rsidRPr="00CA64FE" w14:paraId="01C3731E" w14:textId="77777777" w:rsidTr="006F364B">
        <w:tblPrEx>
          <w:jc w:val="center"/>
          <w:tblInd w:w="0" w:type="dxa"/>
          <w:tblCellMar>
            <w:left w:w="115" w:type="dxa"/>
            <w:right w:w="115" w:type="dxa"/>
          </w:tblCellMar>
        </w:tblPrEx>
        <w:trPr>
          <w:gridAfter w:val="1"/>
          <w:wAfter w:w="7" w:type="dxa"/>
          <w:cantSplit/>
          <w:jc w:val="center"/>
        </w:trPr>
        <w:tc>
          <w:tcPr>
            <w:tcW w:w="2146" w:type="dxa"/>
            <w:gridSpan w:val="2"/>
          </w:tcPr>
          <w:p w14:paraId="01C37319" w14:textId="77777777" w:rsidR="005167FD" w:rsidRPr="00CA64FE" w:rsidRDefault="005167FD" w:rsidP="00D22252">
            <w:pPr>
              <w:keepNext/>
              <w:keepLines/>
              <w:spacing w:before="120" w:after="120"/>
              <w:rPr>
                <w:color w:val="000000" w:themeColor="text1"/>
                <w:sz w:val="16"/>
                <w:szCs w:val="16"/>
              </w:rPr>
            </w:pPr>
            <w:r w:rsidRPr="00CA64FE">
              <w:rPr>
                <w:color w:val="000000" w:themeColor="text1"/>
                <w:sz w:val="16"/>
                <w:szCs w:val="16"/>
              </w:rPr>
              <w:lastRenderedPageBreak/>
              <w:t>Halogenated aromatic substances</w:t>
            </w:r>
          </w:p>
        </w:tc>
        <w:tc>
          <w:tcPr>
            <w:tcW w:w="1350" w:type="dxa"/>
          </w:tcPr>
          <w:p w14:paraId="01C3731A" w14:textId="77777777" w:rsidR="005167FD" w:rsidRPr="00CA64FE" w:rsidRDefault="005167FD" w:rsidP="00D22252">
            <w:pPr>
              <w:keepNext/>
              <w:keepLines/>
              <w:spacing w:before="120" w:after="120"/>
              <w:jc w:val="center"/>
              <w:rPr>
                <w:color w:val="000000" w:themeColor="text1"/>
                <w:sz w:val="16"/>
                <w:szCs w:val="16"/>
              </w:rPr>
            </w:pPr>
            <w:r w:rsidRPr="00CA64FE">
              <w:rPr>
                <w:color w:val="000000" w:themeColor="text1"/>
                <w:sz w:val="16"/>
                <w:szCs w:val="16"/>
              </w:rPr>
              <w:t>See references</w:t>
            </w:r>
          </w:p>
        </w:tc>
        <w:tc>
          <w:tcPr>
            <w:tcW w:w="3621" w:type="dxa"/>
          </w:tcPr>
          <w:p w14:paraId="01C3731B" w14:textId="77777777" w:rsidR="005167FD" w:rsidRPr="007639D2" w:rsidRDefault="005167FD" w:rsidP="00D22252">
            <w:pPr>
              <w:spacing w:before="120" w:after="120"/>
              <w:rPr>
                <w:sz w:val="16"/>
              </w:rPr>
            </w:pPr>
            <w:r w:rsidRPr="007639D2">
              <w:rPr>
                <w:sz w:val="16"/>
              </w:rPr>
              <w:t xml:space="preserve">Prohibited from use in capacitors and transformers above 0.05% (500 ppm) for </w:t>
            </w:r>
            <w:proofErr w:type="spellStart"/>
            <w:r w:rsidRPr="007639D2">
              <w:rPr>
                <w:sz w:val="16"/>
              </w:rPr>
              <w:t>monohalogenated</w:t>
            </w:r>
            <w:proofErr w:type="spellEnd"/>
            <w:r w:rsidRPr="007639D2">
              <w:rPr>
                <w:sz w:val="16"/>
              </w:rPr>
              <w:t xml:space="preserve"> or 0.005% (50ppm) for polyhalogenated aromatic substances in materials of the component.</w:t>
            </w:r>
          </w:p>
          <w:p w14:paraId="01C3731C" w14:textId="77777777" w:rsidR="005167FD" w:rsidRPr="007639D2" w:rsidRDefault="005167FD" w:rsidP="00D22252">
            <w:pPr>
              <w:spacing w:before="120" w:after="120"/>
              <w:rPr>
                <w:sz w:val="16"/>
              </w:rPr>
            </w:pPr>
            <w:r w:rsidRPr="007639D2">
              <w:rPr>
                <w:sz w:val="16"/>
              </w:rPr>
              <w:t xml:space="preserve">Note: Specified halogenated organic compounds are also banned – refer to </w:t>
            </w:r>
            <w:proofErr w:type="spellStart"/>
            <w:r w:rsidRPr="007639D2">
              <w:rPr>
                <w:sz w:val="16"/>
              </w:rPr>
              <w:t>ORRChem</w:t>
            </w:r>
            <w:proofErr w:type="spellEnd"/>
            <w:r w:rsidRPr="007639D2">
              <w:rPr>
                <w:sz w:val="16"/>
              </w:rPr>
              <w:t>.</w:t>
            </w:r>
          </w:p>
        </w:tc>
        <w:tc>
          <w:tcPr>
            <w:tcW w:w="2425" w:type="dxa"/>
          </w:tcPr>
          <w:p w14:paraId="01C3731D" w14:textId="77777777" w:rsidR="005167FD" w:rsidRPr="0065770F" w:rsidRDefault="005167FD" w:rsidP="00D22252">
            <w:pPr>
              <w:keepNext/>
              <w:keepLines/>
              <w:spacing w:before="120" w:after="120"/>
              <w:rPr>
                <w:color w:val="000000" w:themeColor="text1"/>
                <w:sz w:val="16"/>
                <w:szCs w:val="16"/>
              </w:rPr>
            </w:pPr>
            <w:r w:rsidRPr="0065770F">
              <w:rPr>
                <w:color w:val="000000" w:themeColor="text1"/>
                <w:sz w:val="16"/>
                <w:szCs w:val="16"/>
              </w:rPr>
              <w:t>Switzerland – Ordinance on Risk Reduction related to Chemical Products (</w:t>
            </w:r>
            <w:proofErr w:type="spellStart"/>
            <w:r w:rsidRPr="0065770F">
              <w:rPr>
                <w:color w:val="000000" w:themeColor="text1"/>
                <w:sz w:val="16"/>
                <w:szCs w:val="16"/>
              </w:rPr>
              <w:t>ORRChem</w:t>
            </w:r>
            <w:proofErr w:type="spellEnd"/>
            <w:r w:rsidRPr="0065770F">
              <w:rPr>
                <w:color w:val="000000" w:themeColor="text1"/>
                <w:sz w:val="16"/>
                <w:szCs w:val="16"/>
              </w:rPr>
              <w:t>)</w:t>
            </w:r>
          </w:p>
        </w:tc>
      </w:tr>
      <w:tr w:rsidR="005167FD" w:rsidRPr="002A6DFD" w14:paraId="01C37327" w14:textId="77777777" w:rsidTr="006F364B">
        <w:tblPrEx>
          <w:jc w:val="center"/>
          <w:tblInd w:w="0" w:type="dxa"/>
          <w:tblCellMar>
            <w:left w:w="115" w:type="dxa"/>
            <w:right w:w="115" w:type="dxa"/>
          </w:tblCellMar>
        </w:tblPrEx>
        <w:trPr>
          <w:gridAfter w:val="1"/>
          <w:wAfter w:w="7" w:type="dxa"/>
          <w:cantSplit/>
          <w:jc w:val="center"/>
        </w:trPr>
        <w:tc>
          <w:tcPr>
            <w:tcW w:w="2146" w:type="dxa"/>
            <w:gridSpan w:val="2"/>
          </w:tcPr>
          <w:p w14:paraId="01C3731F" w14:textId="77777777" w:rsidR="005167FD" w:rsidRPr="002A6DFD" w:rsidRDefault="005167FD" w:rsidP="00D22252">
            <w:pPr>
              <w:keepNext/>
              <w:keepLines/>
              <w:spacing w:before="120" w:after="120"/>
              <w:rPr>
                <w:color w:val="000000" w:themeColor="text1"/>
                <w:sz w:val="16"/>
                <w:szCs w:val="16"/>
              </w:rPr>
            </w:pPr>
            <w:r w:rsidRPr="002A6DFD">
              <w:rPr>
                <w:color w:val="000000" w:themeColor="text1"/>
                <w:sz w:val="16"/>
                <w:szCs w:val="16"/>
              </w:rPr>
              <w:t>Heavy Metals in Batteries</w:t>
            </w:r>
          </w:p>
        </w:tc>
        <w:tc>
          <w:tcPr>
            <w:tcW w:w="1350" w:type="dxa"/>
          </w:tcPr>
          <w:p w14:paraId="01C37320" w14:textId="77777777" w:rsidR="005167FD" w:rsidRPr="002A6DFD" w:rsidRDefault="005167FD" w:rsidP="00D22252">
            <w:pPr>
              <w:keepNext/>
              <w:keepLines/>
              <w:spacing w:before="120" w:after="120"/>
              <w:jc w:val="center"/>
              <w:rPr>
                <w:color w:val="000000" w:themeColor="text1"/>
                <w:sz w:val="16"/>
                <w:szCs w:val="16"/>
              </w:rPr>
            </w:pPr>
            <w:r w:rsidRPr="002A6DFD">
              <w:rPr>
                <w:color w:val="000000" w:themeColor="text1"/>
                <w:sz w:val="16"/>
                <w:szCs w:val="16"/>
              </w:rPr>
              <w:t>See references</w:t>
            </w:r>
          </w:p>
        </w:tc>
        <w:tc>
          <w:tcPr>
            <w:tcW w:w="3621" w:type="dxa"/>
          </w:tcPr>
          <w:p w14:paraId="01C37321" w14:textId="37A6809C" w:rsidR="005167FD" w:rsidRPr="002A6DFD" w:rsidRDefault="005167FD" w:rsidP="00D22252">
            <w:pPr>
              <w:tabs>
                <w:tab w:val="left" w:pos="5238"/>
              </w:tabs>
              <w:spacing w:before="120" w:after="120"/>
              <w:rPr>
                <w:color w:val="000000" w:themeColor="text1"/>
                <w:sz w:val="16"/>
              </w:rPr>
            </w:pPr>
            <w:r w:rsidRPr="002A6DFD">
              <w:rPr>
                <w:color w:val="000000" w:themeColor="text1"/>
                <w:sz w:val="16"/>
              </w:rPr>
              <w:t xml:space="preserve">Heavy metals in batteries shall </w:t>
            </w:r>
            <w:r w:rsidR="0031219A">
              <w:rPr>
                <w:color w:val="000000" w:themeColor="text1"/>
                <w:sz w:val="16"/>
              </w:rPr>
              <w:t>in general</w:t>
            </w:r>
            <w:r w:rsidR="001B3021">
              <w:rPr>
                <w:color w:val="000000" w:themeColor="text1"/>
                <w:sz w:val="16"/>
              </w:rPr>
              <w:t>*</w:t>
            </w:r>
            <w:r w:rsidR="0031219A">
              <w:rPr>
                <w:color w:val="000000" w:themeColor="text1"/>
                <w:sz w:val="16"/>
              </w:rPr>
              <w:t xml:space="preserve"> </w:t>
            </w:r>
            <w:r w:rsidRPr="002A6DFD">
              <w:rPr>
                <w:color w:val="000000" w:themeColor="text1"/>
                <w:sz w:val="16"/>
              </w:rPr>
              <w:t>not exceed the following:</w:t>
            </w:r>
          </w:p>
          <w:p w14:paraId="01C37323" w14:textId="01FD0BDA" w:rsidR="005167FD" w:rsidRPr="0031219A" w:rsidRDefault="005167FD" w:rsidP="0031219A">
            <w:pPr>
              <w:pStyle w:val="ListParagraph"/>
              <w:numPr>
                <w:ilvl w:val="0"/>
                <w:numId w:val="47"/>
              </w:numPr>
              <w:tabs>
                <w:tab w:val="left" w:pos="5238"/>
              </w:tabs>
              <w:spacing w:before="120" w:after="120"/>
              <w:rPr>
                <w:color w:val="000000" w:themeColor="text1"/>
                <w:sz w:val="16"/>
              </w:rPr>
            </w:pPr>
            <w:r w:rsidRPr="0031219A">
              <w:rPr>
                <w:color w:val="000000" w:themeColor="text1"/>
                <w:sz w:val="16"/>
              </w:rPr>
              <w:t>Mercury 0.0005% (5 ppm)</w:t>
            </w:r>
          </w:p>
          <w:p w14:paraId="0208AA1A" w14:textId="77777777" w:rsidR="002621A3" w:rsidRDefault="00830052" w:rsidP="00D22252">
            <w:pPr>
              <w:pStyle w:val="ListParagraph"/>
              <w:numPr>
                <w:ilvl w:val="0"/>
                <w:numId w:val="47"/>
              </w:numPr>
              <w:tabs>
                <w:tab w:val="left" w:pos="5238"/>
              </w:tabs>
              <w:spacing w:before="120" w:after="120"/>
              <w:rPr>
                <w:color w:val="000000" w:themeColor="text1"/>
                <w:sz w:val="16"/>
              </w:rPr>
            </w:pPr>
            <w:r>
              <w:rPr>
                <w:color w:val="000000" w:themeColor="text1"/>
                <w:sz w:val="16"/>
              </w:rPr>
              <w:t>Cadmium 0.002% (2</w:t>
            </w:r>
            <w:r w:rsidR="005167FD" w:rsidRPr="00A714D1">
              <w:rPr>
                <w:color w:val="000000" w:themeColor="text1"/>
                <w:sz w:val="16"/>
              </w:rPr>
              <w:t>0 ppm)</w:t>
            </w:r>
          </w:p>
          <w:p w14:paraId="63BC5A5F" w14:textId="1D18F452" w:rsidR="0031219A" w:rsidRDefault="0031219A" w:rsidP="00D22252">
            <w:pPr>
              <w:pStyle w:val="ListParagraph"/>
              <w:numPr>
                <w:ilvl w:val="0"/>
                <w:numId w:val="47"/>
              </w:numPr>
              <w:tabs>
                <w:tab w:val="left" w:pos="5238"/>
              </w:tabs>
              <w:spacing w:before="120" w:after="120"/>
              <w:rPr>
                <w:color w:val="000000" w:themeColor="text1"/>
                <w:sz w:val="16"/>
              </w:rPr>
            </w:pPr>
            <w:r>
              <w:rPr>
                <w:color w:val="000000" w:themeColor="text1"/>
                <w:sz w:val="16"/>
              </w:rPr>
              <w:t>Lead – varies based on type</w:t>
            </w:r>
          </w:p>
          <w:p w14:paraId="01C37325" w14:textId="09A0A802" w:rsidR="005167FD" w:rsidRPr="002621A3" w:rsidRDefault="001B3021" w:rsidP="002621A3">
            <w:pPr>
              <w:tabs>
                <w:tab w:val="left" w:pos="5238"/>
              </w:tabs>
              <w:spacing w:before="120" w:after="120"/>
              <w:rPr>
                <w:color w:val="000000" w:themeColor="text1"/>
                <w:sz w:val="16"/>
              </w:rPr>
            </w:pPr>
            <w:r>
              <w:rPr>
                <w:color w:val="000000" w:themeColor="text1"/>
                <w:sz w:val="16"/>
              </w:rPr>
              <w:t>*</w:t>
            </w:r>
            <w:r w:rsidR="0019426A" w:rsidRPr="002621A3">
              <w:rPr>
                <w:color w:val="000000" w:themeColor="text1"/>
                <w:sz w:val="16"/>
              </w:rPr>
              <w:t xml:space="preserve">See Key References </w:t>
            </w:r>
            <w:r w:rsidR="0031219A">
              <w:rPr>
                <w:color w:val="000000" w:themeColor="text1"/>
                <w:sz w:val="16"/>
              </w:rPr>
              <w:t xml:space="preserve">for </w:t>
            </w:r>
            <w:r w:rsidR="00F96423">
              <w:rPr>
                <w:color w:val="000000" w:themeColor="text1"/>
                <w:sz w:val="16"/>
              </w:rPr>
              <w:t xml:space="preserve">battery </w:t>
            </w:r>
            <w:r w:rsidR="002621A3">
              <w:rPr>
                <w:color w:val="000000" w:themeColor="text1"/>
                <w:sz w:val="16"/>
              </w:rPr>
              <w:t xml:space="preserve">marking and </w:t>
            </w:r>
            <w:r w:rsidR="00830052" w:rsidRPr="002621A3">
              <w:rPr>
                <w:color w:val="000000" w:themeColor="text1"/>
                <w:sz w:val="16"/>
              </w:rPr>
              <w:t xml:space="preserve">restriction criteria </w:t>
            </w:r>
            <w:r>
              <w:rPr>
                <w:color w:val="000000" w:themeColor="text1"/>
                <w:sz w:val="16"/>
              </w:rPr>
              <w:t>based on battery type.</w:t>
            </w:r>
          </w:p>
        </w:tc>
        <w:tc>
          <w:tcPr>
            <w:tcW w:w="2425" w:type="dxa"/>
          </w:tcPr>
          <w:p w14:paraId="0A5DB182" w14:textId="77777777" w:rsidR="005167FD" w:rsidRDefault="005167FD" w:rsidP="00D22252">
            <w:pPr>
              <w:keepNext/>
              <w:keepLines/>
              <w:spacing w:before="120" w:after="120"/>
              <w:rPr>
                <w:color w:val="000000" w:themeColor="text1"/>
                <w:sz w:val="16"/>
                <w:szCs w:val="16"/>
              </w:rPr>
            </w:pPr>
            <w:r w:rsidRPr="002A6DFD">
              <w:rPr>
                <w:color w:val="000000" w:themeColor="text1"/>
                <w:sz w:val="16"/>
              </w:rPr>
              <w:t xml:space="preserve">EU - </w:t>
            </w:r>
            <w:r w:rsidRPr="002A6DFD">
              <w:rPr>
                <w:color w:val="000000" w:themeColor="text1"/>
                <w:sz w:val="16"/>
                <w:szCs w:val="16"/>
              </w:rPr>
              <w:t>Directive 2006/66/EC and its amendments</w:t>
            </w:r>
          </w:p>
          <w:p w14:paraId="476F8BBD" w14:textId="6D430178" w:rsidR="00A83B92" w:rsidRPr="002A6DFD" w:rsidRDefault="00A83B92" w:rsidP="00A83B92">
            <w:pPr>
              <w:keepNext/>
              <w:keepLines/>
              <w:spacing w:before="120" w:after="120"/>
              <w:rPr>
                <w:color w:val="000000" w:themeColor="text1"/>
                <w:sz w:val="16"/>
                <w:szCs w:val="16"/>
              </w:rPr>
            </w:pPr>
            <w:r>
              <w:rPr>
                <w:color w:val="000000" w:themeColor="text1"/>
                <w:sz w:val="16"/>
                <w:szCs w:val="16"/>
              </w:rPr>
              <w:t>X-Rite’s ENV73 – Batteries and Energy Usin</w:t>
            </w:r>
            <w:r w:rsidR="00C05A3E">
              <w:rPr>
                <w:color w:val="000000" w:themeColor="text1"/>
                <w:sz w:val="16"/>
                <w:szCs w:val="16"/>
              </w:rPr>
              <w:t>g Products Requirements</w:t>
            </w:r>
          </w:p>
          <w:p w14:paraId="01C37326" w14:textId="41F3D1ED" w:rsidR="00830052" w:rsidRPr="002A6DFD" w:rsidRDefault="00830052" w:rsidP="007314E6">
            <w:pPr>
              <w:keepNext/>
              <w:keepLines/>
              <w:spacing w:before="120" w:after="120"/>
              <w:rPr>
                <w:color w:val="000000" w:themeColor="text1"/>
                <w:sz w:val="16"/>
                <w:szCs w:val="16"/>
              </w:rPr>
            </w:pPr>
          </w:p>
        </w:tc>
      </w:tr>
      <w:tr w:rsidR="005167FD" w:rsidRPr="00CA64FE" w14:paraId="01C3732D" w14:textId="77777777" w:rsidTr="006F364B">
        <w:tblPrEx>
          <w:jc w:val="center"/>
          <w:tblInd w:w="0" w:type="dxa"/>
          <w:tblCellMar>
            <w:left w:w="115" w:type="dxa"/>
            <w:right w:w="115" w:type="dxa"/>
          </w:tblCellMar>
        </w:tblPrEx>
        <w:trPr>
          <w:gridAfter w:val="1"/>
          <w:wAfter w:w="7" w:type="dxa"/>
          <w:cantSplit/>
          <w:jc w:val="center"/>
        </w:trPr>
        <w:tc>
          <w:tcPr>
            <w:tcW w:w="2146" w:type="dxa"/>
            <w:gridSpan w:val="2"/>
          </w:tcPr>
          <w:p w14:paraId="01C37328" w14:textId="1D509E64" w:rsidR="005167FD" w:rsidRPr="00CA64FE" w:rsidRDefault="005167FD" w:rsidP="00D22252">
            <w:pPr>
              <w:keepNext/>
              <w:keepLines/>
              <w:spacing w:before="120" w:after="120"/>
              <w:rPr>
                <w:color w:val="000000" w:themeColor="text1"/>
                <w:sz w:val="16"/>
                <w:szCs w:val="16"/>
              </w:rPr>
            </w:pPr>
            <w:r>
              <w:rPr>
                <w:color w:val="000000" w:themeColor="text1"/>
                <w:sz w:val="16"/>
                <w:szCs w:val="16"/>
              </w:rPr>
              <w:t>Heavy Metals in Packaging</w:t>
            </w:r>
          </w:p>
        </w:tc>
        <w:tc>
          <w:tcPr>
            <w:tcW w:w="1350" w:type="dxa"/>
          </w:tcPr>
          <w:p w14:paraId="01C37329" w14:textId="77777777" w:rsidR="005167FD" w:rsidRPr="00CA64FE" w:rsidRDefault="005167FD" w:rsidP="00D22252">
            <w:pPr>
              <w:keepNext/>
              <w:keepLines/>
              <w:spacing w:before="120" w:after="120"/>
              <w:jc w:val="center"/>
              <w:rPr>
                <w:color w:val="000000" w:themeColor="text1"/>
                <w:sz w:val="16"/>
                <w:szCs w:val="16"/>
              </w:rPr>
            </w:pPr>
            <w:r w:rsidRPr="00CA64FE">
              <w:rPr>
                <w:color w:val="000000" w:themeColor="text1"/>
                <w:sz w:val="16"/>
                <w:szCs w:val="16"/>
              </w:rPr>
              <w:t>See references</w:t>
            </w:r>
          </w:p>
        </w:tc>
        <w:tc>
          <w:tcPr>
            <w:tcW w:w="3621" w:type="dxa"/>
          </w:tcPr>
          <w:p w14:paraId="01C3732A" w14:textId="77777777" w:rsidR="005167FD" w:rsidRDefault="005167FD" w:rsidP="00D22252">
            <w:pPr>
              <w:tabs>
                <w:tab w:val="left" w:pos="5238"/>
              </w:tabs>
              <w:spacing w:before="120" w:after="120"/>
              <w:rPr>
                <w:sz w:val="16"/>
              </w:rPr>
            </w:pPr>
            <w:r>
              <w:rPr>
                <w:sz w:val="16"/>
              </w:rPr>
              <w:t>Heavy metals in packaging materials shall not exceed the following:</w:t>
            </w:r>
          </w:p>
          <w:p w14:paraId="01C3732B" w14:textId="77777777" w:rsidR="005167FD" w:rsidRPr="007046A2" w:rsidRDefault="005167FD" w:rsidP="00D22252">
            <w:pPr>
              <w:spacing w:before="120" w:after="120"/>
              <w:ind w:left="240"/>
              <w:rPr>
                <w:sz w:val="16"/>
              </w:rPr>
            </w:pPr>
            <w:r>
              <w:rPr>
                <w:sz w:val="16"/>
              </w:rPr>
              <w:t xml:space="preserve">Total of Lead + Mercury + Cadmium + Hexavalent chromium </w:t>
            </w:r>
            <w:r w:rsidRPr="005F33FF">
              <w:rPr>
                <w:sz w:val="16"/>
              </w:rPr>
              <w:t>must be no more than 0.01% (100 ppm)</w:t>
            </w:r>
            <w:r>
              <w:rPr>
                <w:sz w:val="16"/>
              </w:rPr>
              <w:t xml:space="preserve"> per packaging item.</w:t>
            </w:r>
          </w:p>
        </w:tc>
        <w:tc>
          <w:tcPr>
            <w:tcW w:w="2425" w:type="dxa"/>
          </w:tcPr>
          <w:p w14:paraId="01C3732C" w14:textId="77777777" w:rsidR="005167FD" w:rsidRPr="0038743A" w:rsidRDefault="005167FD" w:rsidP="00D22252">
            <w:pPr>
              <w:keepNext/>
              <w:keepLines/>
              <w:spacing w:before="120" w:after="120"/>
              <w:rPr>
                <w:color w:val="000000" w:themeColor="text1"/>
                <w:sz w:val="16"/>
                <w:szCs w:val="16"/>
              </w:rPr>
            </w:pPr>
            <w:r w:rsidRPr="0038743A">
              <w:rPr>
                <w:color w:val="000000" w:themeColor="text1"/>
                <w:sz w:val="16"/>
                <w:szCs w:val="16"/>
              </w:rPr>
              <w:t>EU - Directive 94/62/EC and its amendments</w:t>
            </w:r>
          </w:p>
        </w:tc>
      </w:tr>
      <w:tr w:rsidR="005167FD" w:rsidRPr="0048782E" w14:paraId="01C37334" w14:textId="77777777" w:rsidTr="006F364B">
        <w:tblPrEx>
          <w:jc w:val="center"/>
          <w:tblInd w:w="0" w:type="dxa"/>
          <w:tblCellMar>
            <w:left w:w="115" w:type="dxa"/>
            <w:right w:w="115" w:type="dxa"/>
          </w:tblCellMar>
        </w:tblPrEx>
        <w:trPr>
          <w:gridAfter w:val="1"/>
          <w:wAfter w:w="7" w:type="dxa"/>
          <w:cantSplit/>
          <w:jc w:val="center"/>
        </w:trPr>
        <w:tc>
          <w:tcPr>
            <w:tcW w:w="2146" w:type="dxa"/>
            <w:gridSpan w:val="2"/>
          </w:tcPr>
          <w:p w14:paraId="01C3732E" w14:textId="77777777" w:rsidR="005167FD" w:rsidRPr="0048782E" w:rsidRDefault="005167FD" w:rsidP="00D22252">
            <w:pPr>
              <w:keepNext/>
              <w:keepLines/>
              <w:spacing w:before="120" w:after="120"/>
              <w:rPr>
                <w:color w:val="000000" w:themeColor="text1"/>
                <w:sz w:val="16"/>
                <w:szCs w:val="16"/>
              </w:rPr>
            </w:pPr>
            <w:r w:rsidRPr="0048782E">
              <w:rPr>
                <w:color w:val="000000" w:themeColor="text1"/>
                <w:sz w:val="16"/>
                <w:szCs w:val="16"/>
              </w:rPr>
              <w:t>Hexachloroethane</w:t>
            </w:r>
          </w:p>
        </w:tc>
        <w:tc>
          <w:tcPr>
            <w:tcW w:w="1350" w:type="dxa"/>
          </w:tcPr>
          <w:p w14:paraId="01C3732F" w14:textId="77777777" w:rsidR="005167FD" w:rsidRPr="0048782E" w:rsidRDefault="005167FD" w:rsidP="00D22252">
            <w:pPr>
              <w:keepNext/>
              <w:keepLines/>
              <w:spacing w:before="120" w:after="120"/>
              <w:jc w:val="center"/>
              <w:rPr>
                <w:color w:val="000000" w:themeColor="text1"/>
                <w:sz w:val="16"/>
                <w:szCs w:val="16"/>
              </w:rPr>
            </w:pPr>
            <w:r w:rsidRPr="0048782E">
              <w:rPr>
                <w:color w:val="000000" w:themeColor="text1"/>
                <w:sz w:val="16"/>
                <w:szCs w:val="16"/>
              </w:rPr>
              <w:t>67-72-1</w:t>
            </w:r>
          </w:p>
        </w:tc>
        <w:tc>
          <w:tcPr>
            <w:tcW w:w="3621" w:type="dxa"/>
          </w:tcPr>
          <w:p w14:paraId="01C37330" w14:textId="77777777" w:rsidR="005167FD" w:rsidRPr="0048782E" w:rsidRDefault="005167FD" w:rsidP="00D22252">
            <w:pPr>
              <w:keepNext/>
              <w:keepLines/>
              <w:spacing w:before="120" w:after="120"/>
              <w:rPr>
                <w:color w:val="000000" w:themeColor="text1"/>
                <w:sz w:val="16"/>
                <w:szCs w:val="16"/>
              </w:rPr>
            </w:pPr>
            <w:r w:rsidRPr="0048782E">
              <w:rPr>
                <w:color w:val="000000" w:themeColor="text1"/>
                <w:sz w:val="16"/>
                <w:szCs w:val="16"/>
              </w:rPr>
              <w:t>Prohibited in manufacturing or processing of nonferrous metals.</w:t>
            </w:r>
          </w:p>
        </w:tc>
        <w:tc>
          <w:tcPr>
            <w:tcW w:w="2425" w:type="dxa"/>
          </w:tcPr>
          <w:p w14:paraId="01C37331" w14:textId="77777777" w:rsidR="005167FD" w:rsidRPr="0048782E" w:rsidRDefault="005167FD" w:rsidP="00D22252">
            <w:pPr>
              <w:pStyle w:val="sBullet"/>
              <w:numPr>
                <w:ilvl w:val="0"/>
                <w:numId w:val="0"/>
              </w:numPr>
              <w:spacing w:before="120" w:after="120"/>
              <w:contextualSpacing w:val="0"/>
            </w:pPr>
            <w:r w:rsidRPr="0048782E">
              <w:t>EU – Directive 2001/91/EC and its amendments, Regulation EC 1907/2006 and its amendments</w:t>
            </w:r>
          </w:p>
          <w:p w14:paraId="01C37332" w14:textId="77777777" w:rsidR="005167FD" w:rsidRPr="0048782E" w:rsidRDefault="005167FD" w:rsidP="00D22252">
            <w:pPr>
              <w:pStyle w:val="sBullet"/>
              <w:numPr>
                <w:ilvl w:val="0"/>
                <w:numId w:val="0"/>
              </w:numPr>
              <w:spacing w:before="120" w:after="120"/>
              <w:contextualSpacing w:val="0"/>
            </w:pPr>
            <w:r w:rsidRPr="0048782E">
              <w:t>Switzerland – Ordinance on Risk Reduction related to Chemical Products (</w:t>
            </w:r>
            <w:proofErr w:type="spellStart"/>
            <w:r w:rsidRPr="0048782E">
              <w:t>ORRChem</w:t>
            </w:r>
            <w:proofErr w:type="spellEnd"/>
            <w:r w:rsidRPr="0048782E">
              <w:t>)</w:t>
            </w:r>
          </w:p>
          <w:p w14:paraId="01C37333" w14:textId="77777777" w:rsidR="005167FD" w:rsidRPr="0048782E" w:rsidRDefault="005167FD" w:rsidP="00D22252">
            <w:pPr>
              <w:pStyle w:val="sBullet"/>
              <w:numPr>
                <w:ilvl w:val="0"/>
                <w:numId w:val="0"/>
              </w:numPr>
              <w:spacing w:before="120" w:after="120"/>
              <w:contextualSpacing w:val="0"/>
            </w:pPr>
            <w:r w:rsidRPr="0048782E">
              <w:t>Norway – Norway Product Control Regulation Chapter 2.  Restricted Substances and Preparations.</w:t>
            </w:r>
          </w:p>
        </w:tc>
      </w:tr>
      <w:tr w:rsidR="005167FD" w:rsidRPr="002A6DFD" w14:paraId="01C3733D" w14:textId="77777777" w:rsidTr="006F364B">
        <w:trPr>
          <w:gridBefore w:val="1"/>
          <w:wBefore w:w="9" w:type="dxa"/>
          <w:cantSplit/>
        </w:trPr>
        <w:tc>
          <w:tcPr>
            <w:tcW w:w="2137" w:type="dxa"/>
          </w:tcPr>
          <w:p w14:paraId="01C37335" w14:textId="57460C65" w:rsidR="005167FD" w:rsidRPr="002A6DFD" w:rsidRDefault="005167FD" w:rsidP="00D22252">
            <w:pPr>
              <w:keepNext/>
              <w:keepLines/>
              <w:spacing w:before="120" w:after="120"/>
              <w:rPr>
                <w:color w:val="000000" w:themeColor="text1"/>
                <w:sz w:val="16"/>
                <w:szCs w:val="16"/>
              </w:rPr>
            </w:pPr>
            <w:r w:rsidRPr="002A6DFD">
              <w:rPr>
                <w:color w:val="000000" w:themeColor="text1"/>
                <w:sz w:val="16"/>
                <w:szCs w:val="16"/>
              </w:rPr>
              <w:t>Lead Carbons, Lead Sulfates</w:t>
            </w:r>
          </w:p>
          <w:p w14:paraId="01C37336" w14:textId="77777777" w:rsidR="005167FD" w:rsidRPr="002A6DFD" w:rsidRDefault="005167FD" w:rsidP="00D22252">
            <w:pPr>
              <w:keepNext/>
              <w:keepLines/>
              <w:spacing w:before="120" w:after="120"/>
              <w:rPr>
                <w:color w:val="000000" w:themeColor="text1"/>
                <w:sz w:val="16"/>
                <w:szCs w:val="16"/>
              </w:rPr>
            </w:pPr>
            <w:r w:rsidRPr="002A6DFD">
              <w:rPr>
                <w:color w:val="000000" w:themeColor="text1"/>
                <w:sz w:val="16"/>
                <w:szCs w:val="16"/>
              </w:rPr>
              <w:t>Lead and Lead Compounds in Thermoset or Thermoplastic Coatings</w:t>
            </w:r>
          </w:p>
        </w:tc>
        <w:tc>
          <w:tcPr>
            <w:tcW w:w="1350" w:type="dxa"/>
          </w:tcPr>
          <w:p w14:paraId="01C37337" w14:textId="77777777" w:rsidR="005167FD" w:rsidRPr="002A6DFD" w:rsidRDefault="005167FD" w:rsidP="00D22252">
            <w:pPr>
              <w:keepNext/>
              <w:keepLines/>
              <w:spacing w:before="120" w:after="120"/>
              <w:jc w:val="center"/>
              <w:rPr>
                <w:color w:val="000000" w:themeColor="text1"/>
                <w:sz w:val="16"/>
                <w:szCs w:val="16"/>
              </w:rPr>
            </w:pPr>
            <w:r w:rsidRPr="002A6DFD">
              <w:rPr>
                <w:color w:val="000000" w:themeColor="text1"/>
                <w:sz w:val="16"/>
                <w:szCs w:val="16"/>
              </w:rPr>
              <w:t>See references</w:t>
            </w:r>
          </w:p>
        </w:tc>
        <w:tc>
          <w:tcPr>
            <w:tcW w:w="3621" w:type="dxa"/>
          </w:tcPr>
          <w:p w14:paraId="01C37339" w14:textId="33911738" w:rsidR="005167FD" w:rsidRPr="002A6DFD" w:rsidRDefault="005167FD" w:rsidP="008173AA">
            <w:pPr>
              <w:pStyle w:val="sBullet"/>
              <w:numPr>
                <w:ilvl w:val="0"/>
                <w:numId w:val="0"/>
              </w:numPr>
              <w:spacing w:before="120" w:after="120"/>
              <w:contextualSpacing w:val="0"/>
            </w:pPr>
            <w:r w:rsidRPr="002A6DFD">
              <w:t>Not to be used in paints.</w:t>
            </w:r>
          </w:p>
          <w:p w14:paraId="01C3733A" w14:textId="77777777" w:rsidR="005167FD" w:rsidRPr="002A6DFD" w:rsidRDefault="005167FD" w:rsidP="00D22252">
            <w:pPr>
              <w:pStyle w:val="sBullet"/>
              <w:numPr>
                <w:ilvl w:val="0"/>
                <w:numId w:val="0"/>
              </w:numPr>
              <w:spacing w:after="120"/>
              <w:contextualSpacing w:val="0"/>
            </w:pPr>
            <w:r w:rsidRPr="002A6DFD">
              <w:t>Not to exceed 0.03% (300 ppm) in surface coating of cables and cords.</w:t>
            </w:r>
          </w:p>
        </w:tc>
        <w:tc>
          <w:tcPr>
            <w:tcW w:w="2432" w:type="dxa"/>
            <w:gridSpan w:val="2"/>
          </w:tcPr>
          <w:p w14:paraId="41873B83" w14:textId="73E62684" w:rsidR="008173AA" w:rsidRPr="002A6DFD" w:rsidRDefault="005167FD" w:rsidP="00D22252">
            <w:pPr>
              <w:pStyle w:val="sBullet"/>
              <w:numPr>
                <w:ilvl w:val="0"/>
                <w:numId w:val="0"/>
              </w:numPr>
              <w:spacing w:before="120" w:after="120"/>
              <w:contextualSpacing w:val="0"/>
            </w:pPr>
            <w:r w:rsidRPr="002A6DFD">
              <w:t xml:space="preserve">EU - Regulation EC 1907/2006 </w:t>
            </w:r>
            <w:r w:rsidR="00380FE2" w:rsidRPr="00380FE2">
              <w:t xml:space="preserve">Annex 17 </w:t>
            </w:r>
            <w:r w:rsidR="008173AA">
              <w:t>and its amendments</w:t>
            </w:r>
          </w:p>
          <w:p w14:paraId="01C3733C" w14:textId="77777777" w:rsidR="005167FD" w:rsidRPr="002A6DFD" w:rsidRDefault="005167FD" w:rsidP="00D22252">
            <w:pPr>
              <w:pStyle w:val="sBullet"/>
              <w:numPr>
                <w:ilvl w:val="0"/>
                <w:numId w:val="0"/>
              </w:numPr>
              <w:spacing w:before="120" w:after="120"/>
              <w:contextualSpacing w:val="0"/>
            </w:pPr>
            <w:r w:rsidRPr="002A6DFD">
              <w:t>USA- CA Proposition 65</w:t>
            </w:r>
          </w:p>
        </w:tc>
      </w:tr>
      <w:tr w:rsidR="005167FD" w:rsidRPr="00CA64FE" w14:paraId="01C37348" w14:textId="77777777" w:rsidTr="006F364B">
        <w:tblPrEx>
          <w:jc w:val="center"/>
          <w:tblInd w:w="0" w:type="dxa"/>
          <w:tblCellMar>
            <w:left w:w="115" w:type="dxa"/>
            <w:right w:w="115" w:type="dxa"/>
          </w:tblCellMar>
        </w:tblPrEx>
        <w:trPr>
          <w:gridAfter w:val="1"/>
          <w:wAfter w:w="7" w:type="dxa"/>
          <w:cantSplit/>
          <w:jc w:val="center"/>
        </w:trPr>
        <w:tc>
          <w:tcPr>
            <w:tcW w:w="2146" w:type="dxa"/>
            <w:gridSpan w:val="2"/>
          </w:tcPr>
          <w:p w14:paraId="01C3733E" w14:textId="465BA1D9" w:rsidR="005167FD" w:rsidRPr="00C92675" w:rsidRDefault="005167FD" w:rsidP="00D22252">
            <w:pPr>
              <w:keepNext/>
              <w:keepLines/>
              <w:spacing w:before="120" w:after="120"/>
              <w:rPr>
                <w:color w:val="000000" w:themeColor="text1"/>
                <w:sz w:val="16"/>
                <w:szCs w:val="16"/>
              </w:rPr>
            </w:pPr>
            <w:r w:rsidRPr="00C92675">
              <w:rPr>
                <w:color w:val="000000" w:themeColor="text1"/>
                <w:sz w:val="16"/>
                <w:szCs w:val="16"/>
              </w:rPr>
              <w:t>Monomethyl-</w:t>
            </w:r>
            <w:proofErr w:type="spellStart"/>
            <w:r w:rsidRPr="00C92675">
              <w:rPr>
                <w:color w:val="000000" w:themeColor="text1"/>
                <w:sz w:val="16"/>
                <w:szCs w:val="16"/>
              </w:rPr>
              <w:t>tetrachloro</w:t>
            </w:r>
            <w:proofErr w:type="spellEnd"/>
            <w:r w:rsidRPr="00C92675">
              <w:rPr>
                <w:color w:val="000000" w:themeColor="text1"/>
                <w:sz w:val="16"/>
                <w:szCs w:val="16"/>
              </w:rPr>
              <w:t>-diphenyl methane (</w:t>
            </w:r>
            <w:proofErr w:type="spellStart"/>
            <w:r w:rsidRPr="00C92675">
              <w:rPr>
                <w:color w:val="000000" w:themeColor="text1"/>
                <w:sz w:val="16"/>
                <w:szCs w:val="16"/>
              </w:rPr>
              <w:t>Ugilec</w:t>
            </w:r>
            <w:proofErr w:type="spellEnd"/>
            <w:r w:rsidRPr="00C92675">
              <w:rPr>
                <w:color w:val="000000" w:themeColor="text1"/>
                <w:sz w:val="16"/>
                <w:szCs w:val="16"/>
              </w:rPr>
              <w:t xml:space="preserve"> 141)  </w:t>
            </w:r>
          </w:p>
          <w:p w14:paraId="01C3733F" w14:textId="77777777" w:rsidR="005167FD" w:rsidRPr="00C92675" w:rsidRDefault="005167FD" w:rsidP="00D22252">
            <w:pPr>
              <w:keepNext/>
              <w:keepLines/>
              <w:spacing w:before="120" w:after="120"/>
              <w:rPr>
                <w:color w:val="000000" w:themeColor="text1"/>
                <w:sz w:val="16"/>
                <w:szCs w:val="16"/>
              </w:rPr>
            </w:pPr>
            <w:proofErr w:type="spellStart"/>
            <w:r w:rsidRPr="00C92675">
              <w:rPr>
                <w:color w:val="000000" w:themeColor="text1"/>
                <w:sz w:val="16"/>
                <w:szCs w:val="16"/>
              </w:rPr>
              <w:t>Mononmethyl</w:t>
            </w:r>
            <w:proofErr w:type="spellEnd"/>
            <w:r w:rsidRPr="00C92675">
              <w:rPr>
                <w:color w:val="000000" w:themeColor="text1"/>
                <w:sz w:val="16"/>
                <w:szCs w:val="16"/>
              </w:rPr>
              <w:t>-dichloro-diphenyl methane (</w:t>
            </w:r>
            <w:proofErr w:type="spellStart"/>
            <w:r w:rsidRPr="00C92675">
              <w:rPr>
                <w:color w:val="000000" w:themeColor="text1"/>
                <w:sz w:val="16"/>
                <w:szCs w:val="16"/>
              </w:rPr>
              <w:t>Ugilec</w:t>
            </w:r>
            <w:proofErr w:type="spellEnd"/>
            <w:r w:rsidRPr="00C92675">
              <w:rPr>
                <w:color w:val="000000" w:themeColor="text1"/>
                <w:sz w:val="16"/>
                <w:szCs w:val="16"/>
              </w:rPr>
              <w:t xml:space="preserve"> 121 / 21) </w:t>
            </w:r>
          </w:p>
          <w:p w14:paraId="01C37340" w14:textId="77777777" w:rsidR="005167FD" w:rsidRPr="00C92675" w:rsidRDefault="005167FD" w:rsidP="00D22252">
            <w:pPr>
              <w:keepNext/>
              <w:keepLines/>
              <w:spacing w:before="120" w:after="120"/>
              <w:rPr>
                <w:color w:val="000000" w:themeColor="text1"/>
                <w:sz w:val="16"/>
                <w:szCs w:val="16"/>
              </w:rPr>
            </w:pPr>
            <w:r w:rsidRPr="00C92675">
              <w:rPr>
                <w:color w:val="000000" w:themeColor="text1"/>
                <w:sz w:val="16"/>
                <w:szCs w:val="16"/>
              </w:rPr>
              <w:t>Monomethyl-dibromo-</w:t>
            </w:r>
            <w:proofErr w:type="spellStart"/>
            <w:r w:rsidRPr="00C92675">
              <w:rPr>
                <w:color w:val="000000" w:themeColor="text1"/>
                <w:sz w:val="16"/>
                <w:szCs w:val="16"/>
              </w:rPr>
              <w:t>dipheyl</w:t>
            </w:r>
            <w:proofErr w:type="spellEnd"/>
            <w:r w:rsidRPr="00C92675">
              <w:rPr>
                <w:color w:val="000000" w:themeColor="text1"/>
                <w:sz w:val="16"/>
                <w:szCs w:val="16"/>
              </w:rPr>
              <w:t xml:space="preserve"> methane (DBBT)</w:t>
            </w:r>
          </w:p>
        </w:tc>
        <w:tc>
          <w:tcPr>
            <w:tcW w:w="1350" w:type="dxa"/>
          </w:tcPr>
          <w:p w14:paraId="01C37341" w14:textId="77777777" w:rsidR="005167FD" w:rsidRPr="00CA64FE" w:rsidRDefault="005167FD" w:rsidP="00D22252">
            <w:pPr>
              <w:keepNext/>
              <w:keepLines/>
              <w:spacing w:before="120" w:after="120"/>
              <w:rPr>
                <w:color w:val="000000" w:themeColor="text1"/>
                <w:sz w:val="16"/>
                <w:szCs w:val="16"/>
              </w:rPr>
            </w:pPr>
            <w:r w:rsidRPr="00CA64FE">
              <w:rPr>
                <w:color w:val="000000" w:themeColor="text1"/>
                <w:sz w:val="16"/>
                <w:szCs w:val="16"/>
              </w:rPr>
              <w:t>76253-60-6</w:t>
            </w:r>
          </w:p>
          <w:p w14:paraId="01C37342" w14:textId="77777777" w:rsidR="005167FD" w:rsidRDefault="005167FD" w:rsidP="00D22252">
            <w:pPr>
              <w:keepNext/>
              <w:keepLines/>
              <w:spacing w:before="120" w:after="120"/>
              <w:rPr>
                <w:color w:val="000000" w:themeColor="text1"/>
                <w:sz w:val="16"/>
                <w:szCs w:val="16"/>
              </w:rPr>
            </w:pPr>
          </w:p>
          <w:p w14:paraId="01C37343" w14:textId="77777777" w:rsidR="005167FD" w:rsidRPr="00CA64FE" w:rsidRDefault="005167FD" w:rsidP="00D22252">
            <w:pPr>
              <w:keepNext/>
              <w:keepLines/>
              <w:spacing w:before="120" w:after="120"/>
              <w:rPr>
                <w:color w:val="000000" w:themeColor="text1"/>
                <w:sz w:val="16"/>
                <w:szCs w:val="16"/>
              </w:rPr>
            </w:pPr>
            <w:r w:rsidRPr="00CA64FE">
              <w:rPr>
                <w:color w:val="000000" w:themeColor="text1"/>
                <w:sz w:val="16"/>
                <w:szCs w:val="16"/>
              </w:rPr>
              <w:t>81161-70-8</w:t>
            </w:r>
          </w:p>
          <w:p w14:paraId="01C37344" w14:textId="77777777" w:rsidR="005167FD" w:rsidRPr="00CA64FE" w:rsidRDefault="005167FD" w:rsidP="00D22252">
            <w:pPr>
              <w:keepNext/>
              <w:keepLines/>
              <w:spacing w:before="120" w:after="120"/>
              <w:jc w:val="center"/>
              <w:rPr>
                <w:color w:val="000000" w:themeColor="text1"/>
                <w:sz w:val="16"/>
                <w:szCs w:val="16"/>
              </w:rPr>
            </w:pPr>
          </w:p>
          <w:p w14:paraId="01C37345" w14:textId="77777777" w:rsidR="005167FD" w:rsidRPr="00CA64FE" w:rsidRDefault="005167FD" w:rsidP="00D22252">
            <w:pPr>
              <w:keepNext/>
              <w:keepLines/>
              <w:spacing w:before="120" w:after="120"/>
              <w:rPr>
                <w:color w:val="000000" w:themeColor="text1"/>
                <w:sz w:val="16"/>
                <w:szCs w:val="16"/>
              </w:rPr>
            </w:pPr>
            <w:r w:rsidRPr="00CA64FE">
              <w:rPr>
                <w:color w:val="000000" w:themeColor="text1"/>
                <w:sz w:val="16"/>
                <w:szCs w:val="16"/>
              </w:rPr>
              <w:t>99688-47-8</w:t>
            </w:r>
          </w:p>
        </w:tc>
        <w:tc>
          <w:tcPr>
            <w:tcW w:w="3621" w:type="dxa"/>
          </w:tcPr>
          <w:p w14:paraId="01C37346" w14:textId="77777777" w:rsidR="005167FD" w:rsidRPr="0065770F" w:rsidRDefault="005167FD" w:rsidP="00D22252">
            <w:pPr>
              <w:keepNext/>
              <w:keepLines/>
              <w:autoSpaceDE w:val="0"/>
              <w:autoSpaceDN w:val="0"/>
              <w:adjustRightInd w:val="0"/>
              <w:spacing w:before="120" w:after="120"/>
              <w:rPr>
                <w:color w:val="000000" w:themeColor="text1"/>
                <w:sz w:val="16"/>
                <w:szCs w:val="16"/>
              </w:rPr>
            </w:pPr>
            <w:r w:rsidRPr="0065770F">
              <w:rPr>
                <w:color w:val="000000" w:themeColor="text1"/>
                <w:sz w:val="16"/>
                <w:szCs w:val="16"/>
              </w:rPr>
              <w:t xml:space="preserve">Not to be used. </w:t>
            </w:r>
          </w:p>
        </w:tc>
        <w:tc>
          <w:tcPr>
            <w:tcW w:w="2425" w:type="dxa"/>
          </w:tcPr>
          <w:p w14:paraId="01C37347" w14:textId="2489540E" w:rsidR="005167FD" w:rsidRPr="00CA64FE" w:rsidRDefault="005167FD" w:rsidP="00D22252">
            <w:pPr>
              <w:keepNext/>
              <w:keepLines/>
              <w:spacing w:before="120" w:after="120"/>
              <w:rPr>
                <w:color w:val="000000" w:themeColor="text1"/>
                <w:sz w:val="16"/>
                <w:szCs w:val="16"/>
              </w:rPr>
            </w:pPr>
            <w:r w:rsidRPr="00CA64FE">
              <w:rPr>
                <w:color w:val="000000" w:themeColor="text1"/>
                <w:sz w:val="16"/>
                <w:szCs w:val="16"/>
              </w:rPr>
              <w:t xml:space="preserve">EU - Regulation EC 1907/2006 </w:t>
            </w:r>
            <w:r w:rsidR="00380FE2" w:rsidRPr="00380FE2">
              <w:rPr>
                <w:color w:val="000000" w:themeColor="text1"/>
                <w:sz w:val="16"/>
                <w:szCs w:val="16"/>
              </w:rPr>
              <w:t xml:space="preserve">Annex 17 </w:t>
            </w:r>
            <w:r w:rsidRPr="00CA64FE">
              <w:rPr>
                <w:color w:val="000000" w:themeColor="text1"/>
                <w:sz w:val="16"/>
                <w:szCs w:val="16"/>
              </w:rPr>
              <w:t>and its amendments</w:t>
            </w:r>
          </w:p>
        </w:tc>
      </w:tr>
      <w:tr w:rsidR="005167FD" w:rsidRPr="008F266A" w14:paraId="01C3734D" w14:textId="77777777" w:rsidTr="006F364B">
        <w:tblPrEx>
          <w:jc w:val="center"/>
          <w:tblInd w:w="0" w:type="dxa"/>
          <w:tblCellMar>
            <w:left w:w="115" w:type="dxa"/>
            <w:right w:w="115" w:type="dxa"/>
          </w:tblCellMar>
        </w:tblPrEx>
        <w:trPr>
          <w:gridAfter w:val="1"/>
          <w:wAfter w:w="7" w:type="dxa"/>
          <w:cantSplit/>
          <w:jc w:val="center"/>
        </w:trPr>
        <w:tc>
          <w:tcPr>
            <w:tcW w:w="2146" w:type="dxa"/>
            <w:gridSpan w:val="2"/>
          </w:tcPr>
          <w:p w14:paraId="01C37349" w14:textId="77777777" w:rsidR="005167FD" w:rsidRPr="00E5181A" w:rsidRDefault="005167FD" w:rsidP="00D22252">
            <w:pPr>
              <w:keepNext/>
              <w:keepLines/>
              <w:spacing w:before="120" w:after="120"/>
              <w:rPr>
                <w:color w:val="000000" w:themeColor="text1"/>
                <w:sz w:val="16"/>
                <w:szCs w:val="16"/>
              </w:rPr>
            </w:pPr>
            <w:r w:rsidRPr="00E5181A">
              <w:rPr>
                <w:color w:val="000000" w:themeColor="text1"/>
                <w:sz w:val="16"/>
                <w:szCs w:val="16"/>
              </w:rPr>
              <w:lastRenderedPageBreak/>
              <w:t>Nickel and Nickel Compounds</w:t>
            </w:r>
          </w:p>
        </w:tc>
        <w:tc>
          <w:tcPr>
            <w:tcW w:w="1350" w:type="dxa"/>
          </w:tcPr>
          <w:p w14:paraId="01C3734A" w14:textId="77777777" w:rsidR="005167FD" w:rsidRPr="00E5181A" w:rsidRDefault="005167FD" w:rsidP="00D22252">
            <w:pPr>
              <w:keepNext/>
              <w:keepLines/>
              <w:spacing w:before="120" w:after="120"/>
              <w:jc w:val="center"/>
              <w:rPr>
                <w:color w:val="000000" w:themeColor="text1"/>
                <w:sz w:val="16"/>
                <w:szCs w:val="16"/>
              </w:rPr>
            </w:pPr>
            <w:r w:rsidRPr="00E5181A">
              <w:rPr>
                <w:color w:val="000000" w:themeColor="text1"/>
                <w:sz w:val="16"/>
                <w:szCs w:val="16"/>
              </w:rPr>
              <w:t>7440-02-0 and others</w:t>
            </w:r>
          </w:p>
        </w:tc>
        <w:tc>
          <w:tcPr>
            <w:tcW w:w="3621" w:type="dxa"/>
          </w:tcPr>
          <w:p w14:paraId="01C3734B" w14:textId="7C1C643C" w:rsidR="005167FD" w:rsidRPr="00E5181A" w:rsidRDefault="005167FD" w:rsidP="00D22252">
            <w:pPr>
              <w:pStyle w:val="sBullet"/>
              <w:numPr>
                <w:ilvl w:val="0"/>
                <w:numId w:val="0"/>
              </w:numPr>
              <w:spacing w:before="120" w:after="120"/>
              <w:contextualSpacing w:val="0"/>
            </w:pPr>
            <w:r w:rsidRPr="00E5181A">
              <w:t>Nickel finishe</w:t>
            </w:r>
            <w:r>
              <w:t xml:space="preserve">s that release greater than 0.5 </w:t>
            </w:r>
            <w:r w:rsidRPr="00E5181A">
              <w:t>µg/cm</w:t>
            </w:r>
            <w:r w:rsidRPr="00E5181A">
              <w:rPr>
                <w:vertAlign w:val="superscript"/>
              </w:rPr>
              <w:t>2</w:t>
            </w:r>
            <w:r w:rsidRPr="00E5181A">
              <w:t>/week must not be used on the external surface of any product designed to be frequently handled or carried by the user (or intended to be in direct and prolonged skin contact).</w:t>
            </w:r>
          </w:p>
        </w:tc>
        <w:tc>
          <w:tcPr>
            <w:tcW w:w="2425" w:type="dxa"/>
          </w:tcPr>
          <w:p w14:paraId="01C3734C" w14:textId="6344B253" w:rsidR="005167FD" w:rsidRPr="0038743A" w:rsidRDefault="005167FD" w:rsidP="00D22252">
            <w:pPr>
              <w:pStyle w:val="sBullet"/>
              <w:numPr>
                <w:ilvl w:val="0"/>
                <w:numId w:val="0"/>
              </w:numPr>
              <w:spacing w:before="120" w:after="120"/>
              <w:contextualSpacing w:val="0"/>
            </w:pPr>
            <w:r w:rsidRPr="00E5181A">
              <w:t xml:space="preserve">EU – Regulation EC 1907/2006 </w:t>
            </w:r>
            <w:r w:rsidR="00380FE2" w:rsidRPr="00380FE2">
              <w:t xml:space="preserve">Annex 17 </w:t>
            </w:r>
            <w:r w:rsidRPr="00E5181A">
              <w:t>and its amendments</w:t>
            </w:r>
          </w:p>
        </w:tc>
      </w:tr>
      <w:tr w:rsidR="005167FD" w:rsidRPr="008F266A" w14:paraId="01C37356" w14:textId="77777777" w:rsidTr="006F364B">
        <w:tblPrEx>
          <w:jc w:val="center"/>
          <w:tblInd w:w="0" w:type="dxa"/>
          <w:tblCellMar>
            <w:left w:w="115" w:type="dxa"/>
            <w:right w:w="115" w:type="dxa"/>
          </w:tblCellMar>
        </w:tblPrEx>
        <w:trPr>
          <w:gridAfter w:val="1"/>
          <w:wAfter w:w="7" w:type="dxa"/>
          <w:cantSplit/>
          <w:jc w:val="center"/>
        </w:trPr>
        <w:tc>
          <w:tcPr>
            <w:tcW w:w="2146" w:type="dxa"/>
            <w:gridSpan w:val="2"/>
          </w:tcPr>
          <w:p w14:paraId="01C3734E" w14:textId="77777777" w:rsidR="005167FD" w:rsidRPr="00E5181A" w:rsidRDefault="005167FD" w:rsidP="00D22252">
            <w:pPr>
              <w:keepNext/>
              <w:keepLines/>
              <w:spacing w:before="120" w:after="120"/>
              <w:rPr>
                <w:color w:val="000000" w:themeColor="text1"/>
                <w:sz w:val="16"/>
                <w:szCs w:val="16"/>
              </w:rPr>
            </w:pPr>
            <w:r>
              <w:rPr>
                <w:color w:val="000000" w:themeColor="text1"/>
                <w:sz w:val="16"/>
                <w:szCs w:val="16"/>
              </w:rPr>
              <w:t>Nanomaterials</w:t>
            </w:r>
          </w:p>
        </w:tc>
        <w:tc>
          <w:tcPr>
            <w:tcW w:w="1350" w:type="dxa"/>
          </w:tcPr>
          <w:p w14:paraId="01C3734F" w14:textId="77777777" w:rsidR="005167FD" w:rsidRPr="00E5181A" w:rsidRDefault="005167FD" w:rsidP="00D22252">
            <w:pPr>
              <w:keepNext/>
              <w:keepLines/>
              <w:spacing w:before="120" w:after="120"/>
              <w:jc w:val="center"/>
              <w:rPr>
                <w:color w:val="000000" w:themeColor="text1"/>
                <w:sz w:val="16"/>
                <w:szCs w:val="16"/>
              </w:rPr>
            </w:pPr>
            <w:r>
              <w:rPr>
                <w:color w:val="000000" w:themeColor="text1"/>
                <w:sz w:val="16"/>
                <w:szCs w:val="16"/>
              </w:rPr>
              <w:t>See references</w:t>
            </w:r>
          </w:p>
        </w:tc>
        <w:tc>
          <w:tcPr>
            <w:tcW w:w="3621" w:type="dxa"/>
          </w:tcPr>
          <w:p w14:paraId="01C37350" w14:textId="77777777" w:rsidR="005167FD" w:rsidRDefault="005167FD" w:rsidP="00D22252">
            <w:pPr>
              <w:pStyle w:val="sBullet"/>
              <w:numPr>
                <w:ilvl w:val="0"/>
                <w:numId w:val="0"/>
              </w:numPr>
              <w:spacing w:before="120" w:after="120"/>
              <w:contextualSpacing w:val="0"/>
            </w:pPr>
            <w:r>
              <w:t>Intentional use of Nanomaterials in any material is to be declared and the following information provided:</w:t>
            </w:r>
          </w:p>
          <w:p w14:paraId="01C37351" w14:textId="77777777" w:rsidR="005167FD" w:rsidRDefault="005167FD" w:rsidP="00A714D1">
            <w:pPr>
              <w:pStyle w:val="sBullet"/>
              <w:numPr>
                <w:ilvl w:val="0"/>
                <w:numId w:val="46"/>
              </w:numPr>
              <w:contextualSpacing w:val="0"/>
            </w:pPr>
            <w:r>
              <w:t>Toxicity data</w:t>
            </w:r>
          </w:p>
          <w:p w14:paraId="01C37352" w14:textId="77777777" w:rsidR="005167FD" w:rsidRDefault="005167FD" w:rsidP="00A714D1">
            <w:pPr>
              <w:pStyle w:val="sBullet"/>
              <w:numPr>
                <w:ilvl w:val="0"/>
                <w:numId w:val="46"/>
              </w:numPr>
              <w:contextualSpacing w:val="0"/>
            </w:pPr>
            <w:r>
              <w:t>Physical-chemical properties</w:t>
            </w:r>
          </w:p>
          <w:p w14:paraId="01C37353" w14:textId="77777777" w:rsidR="005167FD" w:rsidRDefault="005167FD" w:rsidP="00A714D1">
            <w:pPr>
              <w:pStyle w:val="sBullet"/>
              <w:numPr>
                <w:ilvl w:val="0"/>
                <w:numId w:val="46"/>
              </w:numPr>
              <w:contextualSpacing w:val="0"/>
            </w:pPr>
            <w:r>
              <w:t>Surface shape, density and area</w:t>
            </w:r>
          </w:p>
          <w:p w14:paraId="01C37354" w14:textId="77777777" w:rsidR="005167FD" w:rsidRPr="00E5181A" w:rsidRDefault="005167FD" w:rsidP="00A714D1">
            <w:pPr>
              <w:pStyle w:val="sBullet"/>
              <w:numPr>
                <w:ilvl w:val="0"/>
                <w:numId w:val="46"/>
              </w:numPr>
              <w:contextualSpacing w:val="0"/>
            </w:pPr>
            <w:r>
              <w:t>Aggregation or agglomeration tendency</w:t>
            </w:r>
          </w:p>
        </w:tc>
        <w:tc>
          <w:tcPr>
            <w:tcW w:w="2425" w:type="dxa"/>
          </w:tcPr>
          <w:p w14:paraId="01C37355" w14:textId="77777777" w:rsidR="005167FD" w:rsidRPr="00CA64FE" w:rsidRDefault="005167FD" w:rsidP="00D22252">
            <w:pPr>
              <w:keepNext/>
              <w:keepLines/>
              <w:spacing w:before="120" w:after="120"/>
              <w:rPr>
                <w:color w:val="000000" w:themeColor="text1"/>
                <w:sz w:val="16"/>
                <w:szCs w:val="16"/>
              </w:rPr>
            </w:pPr>
            <w:r>
              <w:rPr>
                <w:color w:val="000000" w:themeColor="text1"/>
                <w:sz w:val="16"/>
                <w:szCs w:val="16"/>
              </w:rPr>
              <w:t>EU – Communication from the Commission to the European Parliament, The Council and the European Economic and Social Committee, Second Regulatory Review on Nanomaterials (3.10.2012)</w:t>
            </w:r>
          </w:p>
        </w:tc>
      </w:tr>
      <w:tr w:rsidR="005167FD" w:rsidRPr="0048782E" w14:paraId="01C3735E" w14:textId="77777777" w:rsidTr="006F364B">
        <w:tblPrEx>
          <w:jc w:val="center"/>
          <w:tblInd w:w="0" w:type="dxa"/>
          <w:tblCellMar>
            <w:left w:w="115" w:type="dxa"/>
            <w:right w:w="115" w:type="dxa"/>
          </w:tblCellMar>
        </w:tblPrEx>
        <w:trPr>
          <w:gridAfter w:val="1"/>
          <w:wAfter w:w="7" w:type="dxa"/>
          <w:cantSplit/>
          <w:jc w:val="center"/>
        </w:trPr>
        <w:tc>
          <w:tcPr>
            <w:tcW w:w="2146" w:type="dxa"/>
            <w:gridSpan w:val="2"/>
          </w:tcPr>
          <w:p w14:paraId="01C37357" w14:textId="77777777" w:rsidR="005167FD" w:rsidRPr="0048782E" w:rsidRDefault="005167FD" w:rsidP="00D22252">
            <w:pPr>
              <w:keepNext/>
              <w:keepLines/>
              <w:spacing w:before="120" w:after="120"/>
              <w:rPr>
                <w:color w:val="000000" w:themeColor="text1"/>
                <w:sz w:val="16"/>
                <w:szCs w:val="16"/>
              </w:rPr>
            </w:pPr>
            <w:r w:rsidRPr="0048782E">
              <w:rPr>
                <w:color w:val="000000" w:themeColor="text1"/>
                <w:sz w:val="16"/>
                <w:szCs w:val="16"/>
              </w:rPr>
              <w:t>Nonylphenol (NP) and Nonylphenol ethoxylates (NPEs)</w:t>
            </w:r>
          </w:p>
        </w:tc>
        <w:tc>
          <w:tcPr>
            <w:tcW w:w="1350" w:type="dxa"/>
          </w:tcPr>
          <w:p w14:paraId="01C37358" w14:textId="77777777" w:rsidR="005167FD" w:rsidRPr="0048782E" w:rsidRDefault="005167FD" w:rsidP="00D22252">
            <w:pPr>
              <w:keepNext/>
              <w:keepLines/>
              <w:spacing w:before="120" w:after="120"/>
              <w:jc w:val="center"/>
              <w:rPr>
                <w:color w:val="000000" w:themeColor="text1"/>
                <w:sz w:val="16"/>
                <w:szCs w:val="16"/>
              </w:rPr>
            </w:pPr>
            <w:r w:rsidRPr="0048782E">
              <w:rPr>
                <w:color w:val="000000" w:themeColor="text1"/>
                <w:sz w:val="16"/>
                <w:szCs w:val="16"/>
              </w:rPr>
              <w:t>25154-52-3 and others</w:t>
            </w:r>
          </w:p>
        </w:tc>
        <w:tc>
          <w:tcPr>
            <w:tcW w:w="3621" w:type="dxa"/>
          </w:tcPr>
          <w:p w14:paraId="01C37359" w14:textId="77777777" w:rsidR="005167FD" w:rsidRPr="0048782E" w:rsidRDefault="005167FD" w:rsidP="00D22252">
            <w:pPr>
              <w:pStyle w:val="sBullet"/>
              <w:numPr>
                <w:ilvl w:val="0"/>
                <w:numId w:val="0"/>
              </w:numPr>
              <w:spacing w:before="120" w:after="120"/>
              <w:contextualSpacing w:val="0"/>
            </w:pPr>
            <w:r w:rsidRPr="0048782E">
              <w:t xml:space="preserve">NPs and NPEs shall not be </w:t>
            </w:r>
            <w:r>
              <w:t>used</w:t>
            </w:r>
            <w:r w:rsidRPr="0048782E">
              <w:t xml:space="preserve"> as substances or in mixtures in concentrations equal to or greater than 0.1 % (1000 ppm) by weight. See references for the exact restricted purposes.</w:t>
            </w:r>
          </w:p>
          <w:p w14:paraId="01C3735A" w14:textId="77777777" w:rsidR="005167FD" w:rsidRPr="0048782E" w:rsidRDefault="005167FD" w:rsidP="00D22252">
            <w:pPr>
              <w:pStyle w:val="sBullet"/>
              <w:numPr>
                <w:ilvl w:val="0"/>
                <w:numId w:val="0"/>
              </w:numPr>
              <w:spacing w:before="120" w:after="120"/>
              <w:contextualSpacing w:val="0"/>
            </w:pPr>
            <w:r w:rsidRPr="0048782E">
              <w:t xml:space="preserve">Use of </w:t>
            </w:r>
            <w:proofErr w:type="spellStart"/>
            <w:r w:rsidRPr="0048782E">
              <w:t>Octylphenols</w:t>
            </w:r>
            <w:proofErr w:type="spellEnd"/>
            <w:r w:rsidRPr="0048782E">
              <w:t xml:space="preserve"> (OPs) and </w:t>
            </w:r>
            <w:proofErr w:type="spellStart"/>
            <w:r w:rsidRPr="0048782E">
              <w:t>Octylphenol</w:t>
            </w:r>
            <w:proofErr w:type="spellEnd"/>
            <w:r w:rsidRPr="0048782E">
              <w:t xml:space="preserve"> ethoxylates (OPEs) as substitutes should be minimized.</w:t>
            </w:r>
          </w:p>
        </w:tc>
        <w:tc>
          <w:tcPr>
            <w:tcW w:w="2425" w:type="dxa"/>
          </w:tcPr>
          <w:p w14:paraId="01C3735B" w14:textId="0CF945B7" w:rsidR="005167FD" w:rsidRPr="0048782E" w:rsidRDefault="005167FD" w:rsidP="00D22252">
            <w:pPr>
              <w:pStyle w:val="sBullet"/>
              <w:numPr>
                <w:ilvl w:val="0"/>
                <w:numId w:val="0"/>
              </w:numPr>
              <w:spacing w:before="120" w:after="120"/>
              <w:contextualSpacing w:val="0"/>
            </w:pPr>
            <w:r w:rsidRPr="0048782E">
              <w:t xml:space="preserve">EU – Regulation EC 1907/2006 </w:t>
            </w:r>
            <w:r w:rsidR="00380FE2" w:rsidRPr="00380FE2">
              <w:t xml:space="preserve">Annex 17 </w:t>
            </w:r>
            <w:r w:rsidRPr="0048782E">
              <w:t>and its amendments</w:t>
            </w:r>
          </w:p>
          <w:p w14:paraId="01C3735C" w14:textId="77777777" w:rsidR="005167FD" w:rsidRPr="0048782E" w:rsidRDefault="005167FD" w:rsidP="00D22252">
            <w:pPr>
              <w:pStyle w:val="sBullet"/>
              <w:numPr>
                <w:ilvl w:val="0"/>
                <w:numId w:val="0"/>
              </w:numPr>
              <w:spacing w:before="120" w:after="120"/>
              <w:contextualSpacing w:val="0"/>
            </w:pPr>
            <w:r w:rsidRPr="0048782E">
              <w:t>Canada – CEPA 1999 Schedule 1 List (2002)</w:t>
            </w:r>
          </w:p>
          <w:p w14:paraId="01C3735D" w14:textId="77777777" w:rsidR="005167FD" w:rsidRPr="0048782E" w:rsidRDefault="005167FD" w:rsidP="00D22252">
            <w:pPr>
              <w:pStyle w:val="sBullet"/>
              <w:numPr>
                <w:ilvl w:val="0"/>
                <w:numId w:val="0"/>
              </w:numPr>
              <w:spacing w:before="120" w:after="120"/>
              <w:contextualSpacing w:val="0"/>
            </w:pPr>
            <w:r w:rsidRPr="0048782E">
              <w:t>NE Atlantic Region – OSPAR</w:t>
            </w:r>
          </w:p>
        </w:tc>
      </w:tr>
      <w:tr w:rsidR="005167FD" w:rsidRPr="002A6DFD" w14:paraId="01C3736A" w14:textId="77777777" w:rsidTr="006F364B">
        <w:tblPrEx>
          <w:jc w:val="center"/>
          <w:tblInd w:w="0" w:type="dxa"/>
          <w:tblCellMar>
            <w:left w:w="115" w:type="dxa"/>
            <w:right w:w="115" w:type="dxa"/>
          </w:tblCellMar>
        </w:tblPrEx>
        <w:trPr>
          <w:gridAfter w:val="1"/>
          <w:wAfter w:w="7" w:type="dxa"/>
          <w:cantSplit/>
          <w:jc w:val="center"/>
        </w:trPr>
        <w:tc>
          <w:tcPr>
            <w:tcW w:w="2146" w:type="dxa"/>
            <w:gridSpan w:val="2"/>
          </w:tcPr>
          <w:p w14:paraId="01C3735F" w14:textId="77777777" w:rsidR="005167FD" w:rsidRPr="002A6DFD" w:rsidRDefault="005167FD" w:rsidP="00D22252">
            <w:pPr>
              <w:keepNext/>
              <w:keepLines/>
              <w:spacing w:before="120" w:after="120"/>
              <w:rPr>
                <w:color w:val="000000" w:themeColor="text1"/>
                <w:sz w:val="16"/>
                <w:szCs w:val="16"/>
              </w:rPr>
            </w:pPr>
            <w:proofErr w:type="spellStart"/>
            <w:r w:rsidRPr="002A6DFD">
              <w:rPr>
                <w:color w:val="000000" w:themeColor="text1"/>
                <w:sz w:val="16"/>
                <w:szCs w:val="16"/>
              </w:rPr>
              <w:t>Organostannic</w:t>
            </w:r>
            <w:proofErr w:type="spellEnd"/>
            <w:r w:rsidRPr="002A6DFD">
              <w:rPr>
                <w:color w:val="000000" w:themeColor="text1"/>
                <w:sz w:val="16"/>
                <w:szCs w:val="16"/>
              </w:rPr>
              <w:t xml:space="preserve"> Compounds (tri- and di- substituted):</w:t>
            </w:r>
          </w:p>
          <w:p w14:paraId="01C37360" w14:textId="77777777" w:rsidR="005167FD" w:rsidRPr="002A6DFD" w:rsidRDefault="005167FD" w:rsidP="007E3A43">
            <w:pPr>
              <w:keepNext/>
              <w:keepLines/>
              <w:spacing w:before="120" w:after="120"/>
              <w:ind w:left="70"/>
              <w:rPr>
                <w:color w:val="000000" w:themeColor="text1"/>
                <w:sz w:val="16"/>
                <w:szCs w:val="16"/>
              </w:rPr>
            </w:pPr>
            <w:r w:rsidRPr="002A6DFD">
              <w:rPr>
                <w:color w:val="000000" w:themeColor="text1"/>
                <w:sz w:val="16"/>
                <w:szCs w:val="16"/>
              </w:rPr>
              <w:t>Tributyltin (TBT)</w:t>
            </w:r>
          </w:p>
          <w:p w14:paraId="01C37361" w14:textId="77777777" w:rsidR="005167FD" w:rsidRPr="002A6DFD" w:rsidRDefault="005167FD" w:rsidP="007E3A43">
            <w:pPr>
              <w:keepNext/>
              <w:keepLines/>
              <w:spacing w:before="120" w:after="120"/>
              <w:ind w:left="70"/>
              <w:rPr>
                <w:color w:val="000000" w:themeColor="text1"/>
                <w:sz w:val="16"/>
                <w:szCs w:val="16"/>
              </w:rPr>
            </w:pPr>
            <w:proofErr w:type="spellStart"/>
            <w:r w:rsidRPr="002A6DFD">
              <w:rPr>
                <w:color w:val="000000" w:themeColor="text1"/>
                <w:sz w:val="16"/>
                <w:szCs w:val="16"/>
              </w:rPr>
              <w:t>Triphenyltin</w:t>
            </w:r>
            <w:proofErr w:type="spellEnd"/>
            <w:r w:rsidRPr="002A6DFD">
              <w:rPr>
                <w:color w:val="000000" w:themeColor="text1"/>
                <w:sz w:val="16"/>
                <w:szCs w:val="16"/>
              </w:rPr>
              <w:t xml:space="preserve"> (TPT) </w:t>
            </w:r>
          </w:p>
          <w:p w14:paraId="01C37362" w14:textId="77777777" w:rsidR="005167FD" w:rsidRPr="002A6DFD" w:rsidRDefault="005167FD" w:rsidP="007E3A43">
            <w:pPr>
              <w:keepNext/>
              <w:keepLines/>
              <w:spacing w:before="120" w:after="120"/>
              <w:ind w:left="70"/>
              <w:rPr>
                <w:color w:val="000000" w:themeColor="text1"/>
                <w:sz w:val="16"/>
                <w:szCs w:val="16"/>
              </w:rPr>
            </w:pPr>
            <w:r w:rsidRPr="002A6DFD">
              <w:rPr>
                <w:color w:val="000000" w:themeColor="text1"/>
                <w:sz w:val="16"/>
                <w:szCs w:val="16"/>
              </w:rPr>
              <w:t>Dibutyltin (DBT)</w:t>
            </w:r>
          </w:p>
          <w:p w14:paraId="5C514E7F" w14:textId="77777777" w:rsidR="005167FD" w:rsidRPr="002A6DFD" w:rsidRDefault="005167FD" w:rsidP="007E3A43">
            <w:pPr>
              <w:keepNext/>
              <w:keepLines/>
              <w:spacing w:before="120" w:after="120"/>
              <w:ind w:left="70"/>
              <w:rPr>
                <w:color w:val="000000" w:themeColor="text1"/>
                <w:sz w:val="16"/>
                <w:szCs w:val="16"/>
              </w:rPr>
            </w:pPr>
            <w:proofErr w:type="spellStart"/>
            <w:r w:rsidRPr="002A6DFD">
              <w:rPr>
                <w:color w:val="000000" w:themeColor="text1"/>
                <w:sz w:val="16"/>
                <w:szCs w:val="16"/>
              </w:rPr>
              <w:t>Dioctyltin</w:t>
            </w:r>
            <w:proofErr w:type="spellEnd"/>
            <w:r w:rsidRPr="002A6DFD">
              <w:rPr>
                <w:color w:val="000000" w:themeColor="text1"/>
                <w:sz w:val="16"/>
                <w:szCs w:val="16"/>
              </w:rPr>
              <w:t xml:space="preserve"> (DOT) </w:t>
            </w:r>
          </w:p>
          <w:p w14:paraId="01C37363" w14:textId="750E292D" w:rsidR="005167FD" w:rsidRPr="002A6DFD" w:rsidRDefault="005167FD" w:rsidP="007E3A43">
            <w:pPr>
              <w:keepNext/>
              <w:keepLines/>
              <w:spacing w:before="120" w:after="120"/>
              <w:ind w:left="70"/>
              <w:rPr>
                <w:color w:val="000000" w:themeColor="text1"/>
                <w:sz w:val="16"/>
                <w:szCs w:val="16"/>
              </w:rPr>
            </w:pPr>
            <w:proofErr w:type="spellStart"/>
            <w:r w:rsidRPr="002A6DFD">
              <w:rPr>
                <w:color w:val="000000" w:themeColor="text1"/>
                <w:sz w:val="16"/>
                <w:szCs w:val="16"/>
              </w:rPr>
              <w:t>Tributylin</w:t>
            </w:r>
            <w:proofErr w:type="spellEnd"/>
            <w:r w:rsidRPr="002A6DFD">
              <w:rPr>
                <w:color w:val="000000" w:themeColor="text1"/>
                <w:sz w:val="16"/>
                <w:szCs w:val="16"/>
              </w:rPr>
              <w:t xml:space="preserve"> Oxide (TBTO)</w:t>
            </w:r>
          </w:p>
        </w:tc>
        <w:tc>
          <w:tcPr>
            <w:tcW w:w="1350" w:type="dxa"/>
          </w:tcPr>
          <w:p w14:paraId="01C37364" w14:textId="77777777" w:rsidR="005167FD" w:rsidRPr="002A6DFD" w:rsidRDefault="005167FD" w:rsidP="00D22252">
            <w:pPr>
              <w:keepNext/>
              <w:keepLines/>
              <w:spacing w:before="120" w:after="120"/>
              <w:jc w:val="center"/>
              <w:rPr>
                <w:color w:val="000000" w:themeColor="text1"/>
                <w:sz w:val="16"/>
                <w:szCs w:val="16"/>
              </w:rPr>
            </w:pPr>
            <w:r w:rsidRPr="002A6DFD">
              <w:rPr>
                <w:color w:val="000000" w:themeColor="text1"/>
                <w:sz w:val="16"/>
                <w:szCs w:val="16"/>
              </w:rPr>
              <w:t>See references</w:t>
            </w:r>
          </w:p>
        </w:tc>
        <w:tc>
          <w:tcPr>
            <w:tcW w:w="3621" w:type="dxa"/>
          </w:tcPr>
          <w:p w14:paraId="01C37365" w14:textId="77777777" w:rsidR="005167FD" w:rsidRPr="002A6DFD" w:rsidRDefault="005167FD" w:rsidP="00D22252">
            <w:pPr>
              <w:pStyle w:val="sBullet"/>
              <w:numPr>
                <w:ilvl w:val="0"/>
                <w:numId w:val="0"/>
              </w:numPr>
              <w:spacing w:before="120" w:after="120"/>
              <w:contextualSpacing w:val="0"/>
            </w:pPr>
            <w:r w:rsidRPr="002A6DFD">
              <w:t>Not to be used where the concentration in the material is greater than the equivalent of 0.1% (1000 ppm) of tin.</w:t>
            </w:r>
          </w:p>
          <w:p w14:paraId="73DCAFED" w14:textId="77777777" w:rsidR="005167FD" w:rsidRPr="002A6DFD" w:rsidRDefault="005167FD" w:rsidP="00D22252">
            <w:pPr>
              <w:pStyle w:val="sBullet"/>
              <w:numPr>
                <w:ilvl w:val="0"/>
                <w:numId w:val="0"/>
              </w:numPr>
              <w:spacing w:before="120" w:after="120"/>
              <w:contextualSpacing w:val="0"/>
            </w:pPr>
            <w:r w:rsidRPr="002A6DFD">
              <w:t>See references for details of restrictions and affected articles and mixtures. Exemptions due to phase-in dates are voided.</w:t>
            </w:r>
          </w:p>
          <w:p w14:paraId="01C37366" w14:textId="068D53E2" w:rsidR="005167FD" w:rsidRPr="002A6DFD" w:rsidRDefault="005167FD" w:rsidP="00D22252">
            <w:pPr>
              <w:pStyle w:val="sBullet"/>
              <w:numPr>
                <w:ilvl w:val="0"/>
                <w:numId w:val="0"/>
              </w:numPr>
              <w:spacing w:before="120" w:after="120"/>
              <w:contextualSpacing w:val="0"/>
            </w:pPr>
            <w:r w:rsidRPr="002A6DFD">
              <w:t>TBTO: Not to be intentionally added in parts, components, materials or products; is also a REACH SVHC reportable.</w:t>
            </w:r>
          </w:p>
        </w:tc>
        <w:tc>
          <w:tcPr>
            <w:tcW w:w="2425" w:type="dxa"/>
          </w:tcPr>
          <w:p w14:paraId="01C37367" w14:textId="2720FA1F" w:rsidR="005167FD" w:rsidRPr="002A6DFD" w:rsidRDefault="005167FD" w:rsidP="00D22252">
            <w:pPr>
              <w:pStyle w:val="sBullet"/>
              <w:numPr>
                <w:ilvl w:val="0"/>
                <w:numId w:val="0"/>
              </w:numPr>
              <w:spacing w:before="120" w:after="120"/>
              <w:contextualSpacing w:val="0"/>
            </w:pPr>
            <w:r w:rsidRPr="002A6DFD">
              <w:t xml:space="preserve">EU – Regulation EC 1907/2006 </w:t>
            </w:r>
            <w:r w:rsidR="00380FE2" w:rsidRPr="00380FE2">
              <w:t xml:space="preserve">Annex 17 </w:t>
            </w:r>
            <w:r w:rsidRPr="002A6DFD">
              <w:t>and its amendments, Decision 2009/425/EC</w:t>
            </w:r>
          </w:p>
          <w:p w14:paraId="01C37368" w14:textId="3B4E9C48" w:rsidR="005167FD" w:rsidRPr="002A6DFD" w:rsidRDefault="005167FD" w:rsidP="00D22252">
            <w:pPr>
              <w:pStyle w:val="sBullet"/>
              <w:numPr>
                <w:ilvl w:val="0"/>
                <w:numId w:val="0"/>
              </w:numPr>
              <w:spacing w:before="120" w:after="120"/>
              <w:contextualSpacing w:val="0"/>
            </w:pPr>
            <w:r w:rsidRPr="002A6DFD">
              <w:t>Japan – Law Concerning the Examination and Regulation of Manufacture of Chemical Substances, Class I and II</w:t>
            </w:r>
          </w:p>
          <w:p w14:paraId="01C37369" w14:textId="77777777" w:rsidR="005167FD" w:rsidRPr="002A6DFD" w:rsidRDefault="005167FD" w:rsidP="00D22252">
            <w:pPr>
              <w:pStyle w:val="sBullet"/>
              <w:numPr>
                <w:ilvl w:val="0"/>
                <w:numId w:val="0"/>
              </w:numPr>
              <w:spacing w:before="120" w:after="120"/>
              <w:contextualSpacing w:val="0"/>
            </w:pPr>
            <w:r w:rsidRPr="002A6DFD">
              <w:t>NE Atlantic Region – OSPAR</w:t>
            </w:r>
          </w:p>
        </w:tc>
      </w:tr>
      <w:tr w:rsidR="005167FD" w:rsidRPr="00754991" w14:paraId="01C37376" w14:textId="77777777" w:rsidTr="006F364B">
        <w:trPr>
          <w:gridBefore w:val="1"/>
          <w:wBefore w:w="9" w:type="dxa"/>
          <w:cantSplit/>
        </w:trPr>
        <w:tc>
          <w:tcPr>
            <w:tcW w:w="2137" w:type="dxa"/>
          </w:tcPr>
          <w:p w14:paraId="01C3736B" w14:textId="77777777" w:rsidR="005167FD" w:rsidRDefault="005167FD" w:rsidP="00D22252">
            <w:pPr>
              <w:keepNext/>
              <w:keepLines/>
              <w:spacing w:before="120" w:after="120"/>
              <w:rPr>
                <w:color w:val="000000" w:themeColor="text1"/>
                <w:sz w:val="16"/>
                <w:szCs w:val="16"/>
              </w:rPr>
            </w:pPr>
            <w:r w:rsidRPr="00E5181A">
              <w:rPr>
                <w:color w:val="000000" w:themeColor="text1"/>
                <w:sz w:val="16"/>
                <w:szCs w:val="16"/>
              </w:rPr>
              <w:t>Ozone Depleting Substances</w:t>
            </w:r>
          </w:p>
          <w:p w14:paraId="01C3736C" w14:textId="77777777" w:rsidR="005167FD" w:rsidRPr="00E5181A" w:rsidRDefault="005167FD" w:rsidP="00D22252">
            <w:pPr>
              <w:keepNext/>
              <w:keepLines/>
              <w:spacing w:before="120" w:after="120"/>
              <w:rPr>
                <w:color w:val="000000" w:themeColor="text1"/>
                <w:sz w:val="16"/>
                <w:szCs w:val="16"/>
              </w:rPr>
            </w:pPr>
            <w:r>
              <w:rPr>
                <w:color w:val="000000" w:themeColor="text1"/>
                <w:sz w:val="16"/>
                <w:szCs w:val="16"/>
              </w:rPr>
              <w:t>(e.g., CFCs, HBFCs, HCFCs, others)</w:t>
            </w:r>
          </w:p>
        </w:tc>
        <w:tc>
          <w:tcPr>
            <w:tcW w:w="1350" w:type="dxa"/>
          </w:tcPr>
          <w:p w14:paraId="01C3736D" w14:textId="77777777" w:rsidR="005167FD" w:rsidRPr="00E5181A" w:rsidRDefault="005167FD" w:rsidP="00D22252">
            <w:pPr>
              <w:keepNext/>
              <w:keepLines/>
              <w:spacing w:before="120" w:after="120"/>
              <w:jc w:val="center"/>
              <w:rPr>
                <w:color w:val="000000" w:themeColor="text1"/>
                <w:sz w:val="16"/>
                <w:szCs w:val="16"/>
              </w:rPr>
            </w:pPr>
            <w:r w:rsidRPr="00E5181A">
              <w:rPr>
                <w:color w:val="000000" w:themeColor="text1"/>
                <w:sz w:val="16"/>
                <w:szCs w:val="16"/>
              </w:rPr>
              <w:t>See references</w:t>
            </w:r>
          </w:p>
        </w:tc>
        <w:tc>
          <w:tcPr>
            <w:tcW w:w="3621" w:type="dxa"/>
          </w:tcPr>
          <w:p w14:paraId="01C3736E" w14:textId="77777777" w:rsidR="005167FD" w:rsidRPr="00E5181A" w:rsidRDefault="005167FD" w:rsidP="00D22252">
            <w:pPr>
              <w:pStyle w:val="sBullet"/>
              <w:numPr>
                <w:ilvl w:val="0"/>
                <w:numId w:val="0"/>
              </w:numPr>
              <w:spacing w:before="120" w:after="120"/>
              <w:contextualSpacing w:val="0"/>
            </w:pPr>
            <w:r w:rsidRPr="00E5181A">
              <w:t>Specified substances must not be present in any parts, components, materials, or products or used in their manufacturing process. This requirement does not apply to use of these substances in refrigeration units used in manufacturing facilities or in data center facilities.</w:t>
            </w:r>
          </w:p>
          <w:p w14:paraId="01C3736F" w14:textId="77777777" w:rsidR="005167FD" w:rsidRPr="00E5181A" w:rsidRDefault="005167FD" w:rsidP="00D22252">
            <w:pPr>
              <w:pStyle w:val="sBullet"/>
              <w:numPr>
                <w:ilvl w:val="0"/>
                <w:numId w:val="0"/>
              </w:numPr>
              <w:spacing w:before="120" w:after="120"/>
              <w:contextualSpacing w:val="0"/>
            </w:pPr>
            <w:r w:rsidRPr="00E5181A">
              <w:t xml:space="preserve">Substances must not be used in plastic foam packaging materials; for example, as foaming agents. </w:t>
            </w:r>
          </w:p>
          <w:p w14:paraId="01C37370" w14:textId="77777777" w:rsidR="005167FD" w:rsidRPr="00E5181A" w:rsidRDefault="005167FD" w:rsidP="00D22252">
            <w:pPr>
              <w:pStyle w:val="sBullet"/>
              <w:numPr>
                <w:ilvl w:val="0"/>
                <w:numId w:val="0"/>
              </w:numPr>
              <w:spacing w:before="120" w:after="120"/>
              <w:contextualSpacing w:val="0"/>
            </w:pPr>
            <w:r w:rsidRPr="00E5181A">
              <w:t xml:space="preserve">Methyl bromide sterilization must not be used on wood packaging. </w:t>
            </w:r>
          </w:p>
          <w:p w14:paraId="01C37371" w14:textId="77777777" w:rsidR="005167FD" w:rsidRPr="00E5181A" w:rsidRDefault="005167FD" w:rsidP="00D22252">
            <w:pPr>
              <w:pStyle w:val="sBullet"/>
              <w:numPr>
                <w:ilvl w:val="0"/>
                <w:numId w:val="0"/>
              </w:numPr>
              <w:spacing w:before="120" w:after="120"/>
              <w:contextualSpacing w:val="0"/>
            </w:pPr>
            <w:r w:rsidRPr="00E5181A">
              <w:t>HCFCs must not be used for solvent cleaning, as blowing agents for foams or as refrigerants.</w:t>
            </w:r>
          </w:p>
        </w:tc>
        <w:tc>
          <w:tcPr>
            <w:tcW w:w="2432" w:type="dxa"/>
            <w:gridSpan w:val="2"/>
          </w:tcPr>
          <w:p w14:paraId="01C37372" w14:textId="77777777" w:rsidR="005167FD" w:rsidRPr="00E5181A" w:rsidRDefault="005167FD" w:rsidP="00D22252">
            <w:pPr>
              <w:pStyle w:val="sBullet"/>
              <w:numPr>
                <w:ilvl w:val="0"/>
                <w:numId w:val="0"/>
              </w:numPr>
              <w:spacing w:before="120" w:after="120"/>
              <w:contextualSpacing w:val="0"/>
            </w:pPr>
            <w:r w:rsidRPr="00E5181A">
              <w:t>EU - Regulation (EC) No. 2037/2000 and its amendments, Regulation EC 1907/2006 and its amendments</w:t>
            </w:r>
          </w:p>
          <w:p w14:paraId="01C37373" w14:textId="77777777" w:rsidR="005167FD" w:rsidRPr="00E5181A" w:rsidRDefault="005167FD" w:rsidP="00D22252">
            <w:pPr>
              <w:pStyle w:val="sBullet"/>
              <w:numPr>
                <w:ilvl w:val="0"/>
                <w:numId w:val="0"/>
              </w:numPr>
              <w:spacing w:before="120" w:after="120"/>
              <w:contextualSpacing w:val="0"/>
            </w:pPr>
            <w:r w:rsidRPr="00E5181A">
              <w:t>Japan – Law Concerning the Protection of the Ozone Layer Through the Control of Specified Substance and Other Measures</w:t>
            </w:r>
          </w:p>
          <w:p w14:paraId="01C37374" w14:textId="77777777" w:rsidR="005167FD" w:rsidRPr="00E5181A" w:rsidRDefault="005167FD" w:rsidP="00D22252">
            <w:pPr>
              <w:pStyle w:val="sBullet"/>
              <w:numPr>
                <w:ilvl w:val="0"/>
                <w:numId w:val="0"/>
              </w:numPr>
              <w:spacing w:before="120" w:after="120"/>
              <w:contextualSpacing w:val="0"/>
            </w:pPr>
            <w:r w:rsidRPr="00E5181A">
              <w:t>USA – Clean Air Act Amendments of 1990 – Article 611, Montreal Protocol</w:t>
            </w:r>
          </w:p>
          <w:p w14:paraId="01C37375" w14:textId="77777777" w:rsidR="005167FD" w:rsidRPr="0038743A" w:rsidRDefault="005167FD" w:rsidP="00D22252">
            <w:pPr>
              <w:pStyle w:val="sBullet"/>
              <w:numPr>
                <w:ilvl w:val="0"/>
                <w:numId w:val="0"/>
              </w:numPr>
              <w:spacing w:before="120" w:after="120"/>
              <w:contextualSpacing w:val="0"/>
            </w:pPr>
            <w:r w:rsidRPr="00E5181A">
              <w:t>Republic of Indonesia – Regulation of the Minister of Industry of the Republic of Indonesia No. 33/M-IND/PER/4/2007 dated April 17, 2007</w:t>
            </w:r>
          </w:p>
        </w:tc>
      </w:tr>
      <w:tr w:rsidR="005167FD" w:rsidRPr="008F266A" w14:paraId="01C3737C" w14:textId="77777777" w:rsidTr="006F364B">
        <w:trPr>
          <w:gridBefore w:val="1"/>
          <w:wBefore w:w="9" w:type="dxa"/>
          <w:cantSplit/>
        </w:trPr>
        <w:tc>
          <w:tcPr>
            <w:tcW w:w="2137" w:type="dxa"/>
          </w:tcPr>
          <w:p w14:paraId="01C37377" w14:textId="77777777" w:rsidR="005167FD" w:rsidRPr="00E5181A" w:rsidRDefault="005167FD" w:rsidP="00D22252">
            <w:pPr>
              <w:keepNext/>
              <w:keepLines/>
              <w:spacing w:before="120" w:after="120"/>
              <w:rPr>
                <w:color w:val="000000" w:themeColor="text1"/>
                <w:sz w:val="16"/>
                <w:szCs w:val="16"/>
              </w:rPr>
            </w:pPr>
            <w:r w:rsidRPr="00E5181A">
              <w:rPr>
                <w:color w:val="000000" w:themeColor="text1"/>
                <w:sz w:val="16"/>
                <w:szCs w:val="16"/>
              </w:rPr>
              <w:lastRenderedPageBreak/>
              <w:t>Perchlorates, specifically Lithium Perchlorate</w:t>
            </w:r>
          </w:p>
        </w:tc>
        <w:tc>
          <w:tcPr>
            <w:tcW w:w="1350" w:type="dxa"/>
          </w:tcPr>
          <w:p w14:paraId="01C37378" w14:textId="77777777" w:rsidR="005167FD" w:rsidRPr="00E5181A" w:rsidRDefault="005167FD" w:rsidP="00D22252">
            <w:pPr>
              <w:keepNext/>
              <w:keepLines/>
              <w:spacing w:before="120" w:after="120"/>
              <w:jc w:val="center"/>
              <w:rPr>
                <w:color w:val="000000" w:themeColor="text1"/>
                <w:sz w:val="16"/>
                <w:szCs w:val="16"/>
              </w:rPr>
            </w:pPr>
            <w:r w:rsidRPr="00E5181A">
              <w:rPr>
                <w:color w:val="000000" w:themeColor="text1"/>
                <w:sz w:val="16"/>
                <w:szCs w:val="16"/>
              </w:rPr>
              <w:t>7791-03-9</w:t>
            </w:r>
          </w:p>
        </w:tc>
        <w:tc>
          <w:tcPr>
            <w:tcW w:w="3621" w:type="dxa"/>
          </w:tcPr>
          <w:p w14:paraId="01C37379" w14:textId="77777777" w:rsidR="005167FD" w:rsidRPr="00E5181A" w:rsidRDefault="005167FD" w:rsidP="00D22252">
            <w:pPr>
              <w:pStyle w:val="sBullet"/>
              <w:numPr>
                <w:ilvl w:val="0"/>
                <w:numId w:val="0"/>
              </w:numPr>
              <w:spacing w:before="120" w:after="120"/>
              <w:contextualSpacing w:val="0"/>
            </w:pPr>
            <w:r w:rsidRPr="00E5181A">
              <w:t xml:space="preserve">Default reporting threshold of greater than 0.0000006% (.006 ppm) by weight of the product. </w:t>
            </w:r>
          </w:p>
          <w:p w14:paraId="01C3737A" w14:textId="77777777" w:rsidR="005167FD" w:rsidRPr="00E5181A" w:rsidRDefault="005167FD" w:rsidP="00D22252">
            <w:pPr>
              <w:pStyle w:val="sBullet"/>
              <w:numPr>
                <w:ilvl w:val="0"/>
                <w:numId w:val="0"/>
              </w:numPr>
              <w:spacing w:before="120" w:after="120"/>
              <w:contextualSpacing w:val="0"/>
            </w:pPr>
            <w:r w:rsidRPr="00E5181A">
              <w:t>Notice is required to be with product if content above threshold.</w:t>
            </w:r>
          </w:p>
        </w:tc>
        <w:tc>
          <w:tcPr>
            <w:tcW w:w="2432" w:type="dxa"/>
            <w:gridSpan w:val="2"/>
          </w:tcPr>
          <w:p w14:paraId="01C3737B" w14:textId="77777777" w:rsidR="005167FD" w:rsidRPr="00E5181A" w:rsidRDefault="005167FD" w:rsidP="00D22252">
            <w:pPr>
              <w:keepNext/>
              <w:keepLines/>
              <w:spacing w:before="120" w:after="120"/>
              <w:rPr>
                <w:b/>
                <w:color w:val="000000" w:themeColor="text1"/>
                <w:sz w:val="16"/>
                <w:szCs w:val="16"/>
              </w:rPr>
            </w:pPr>
            <w:r w:rsidRPr="0065770F">
              <w:rPr>
                <w:color w:val="000000" w:themeColor="text1"/>
                <w:sz w:val="16"/>
                <w:szCs w:val="16"/>
              </w:rPr>
              <w:t xml:space="preserve">USA </w:t>
            </w:r>
            <w:r w:rsidRPr="0065770F">
              <w:rPr>
                <w:b/>
                <w:color w:val="000000" w:themeColor="text1"/>
                <w:sz w:val="16"/>
                <w:szCs w:val="16"/>
              </w:rPr>
              <w:t xml:space="preserve">- </w:t>
            </w:r>
            <w:r w:rsidRPr="0065770F">
              <w:rPr>
                <w:rStyle w:val="Strong"/>
                <w:b w:val="0"/>
                <w:color w:val="000000" w:themeColor="text1"/>
                <w:sz w:val="16"/>
                <w:szCs w:val="16"/>
              </w:rPr>
              <w:t>California</w:t>
            </w:r>
            <w:r w:rsidRPr="00E5181A">
              <w:rPr>
                <w:rStyle w:val="Strong"/>
                <w:b w:val="0"/>
                <w:color w:val="000000" w:themeColor="text1"/>
                <w:sz w:val="16"/>
                <w:szCs w:val="16"/>
              </w:rPr>
              <w:t xml:space="preserve"> Code of Regulations, Title 22, Division 4.5, Chapter 33: Best Management Practices for Perchlorate Materials</w:t>
            </w:r>
          </w:p>
        </w:tc>
      </w:tr>
      <w:tr w:rsidR="005167FD" w:rsidRPr="002A6DFD" w14:paraId="01C37388" w14:textId="77777777" w:rsidTr="006F364B">
        <w:trPr>
          <w:gridBefore w:val="1"/>
          <w:wBefore w:w="9" w:type="dxa"/>
          <w:cantSplit/>
        </w:trPr>
        <w:tc>
          <w:tcPr>
            <w:tcW w:w="2137" w:type="dxa"/>
          </w:tcPr>
          <w:p w14:paraId="01C3737D" w14:textId="77777777" w:rsidR="005167FD" w:rsidRPr="002A6DFD" w:rsidRDefault="005167FD" w:rsidP="00D22252">
            <w:pPr>
              <w:keepNext/>
              <w:keepLines/>
              <w:spacing w:before="120" w:after="120"/>
              <w:rPr>
                <w:color w:val="000000" w:themeColor="text1"/>
                <w:sz w:val="16"/>
                <w:szCs w:val="16"/>
              </w:rPr>
            </w:pPr>
            <w:proofErr w:type="spellStart"/>
            <w:r w:rsidRPr="002A6DFD">
              <w:rPr>
                <w:color w:val="000000" w:themeColor="text1"/>
                <w:sz w:val="16"/>
                <w:szCs w:val="16"/>
              </w:rPr>
              <w:t>Perfluorooctane</w:t>
            </w:r>
            <w:proofErr w:type="spellEnd"/>
            <w:r w:rsidRPr="002A6DFD">
              <w:rPr>
                <w:color w:val="000000" w:themeColor="text1"/>
                <w:sz w:val="16"/>
                <w:szCs w:val="16"/>
              </w:rPr>
              <w:t xml:space="preserve"> Sulfonates (PFOS) and PFOS related substances</w:t>
            </w:r>
          </w:p>
          <w:p w14:paraId="01C3737E" w14:textId="77777777" w:rsidR="005167FD" w:rsidRPr="002A6DFD" w:rsidRDefault="005167FD" w:rsidP="00D22252">
            <w:pPr>
              <w:keepNext/>
              <w:keepLines/>
              <w:spacing w:before="120" w:after="120"/>
              <w:rPr>
                <w:color w:val="000000" w:themeColor="text1"/>
                <w:sz w:val="16"/>
                <w:szCs w:val="16"/>
              </w:rPr>
            </w:pPr>
            <w:r w:rsidRPr="002A6DFD">
              <w:rPr>
                <w:color w:val="000000" w:themeColor="text1"/>
                <w:sz w:val="16"/>
                <w:szCs w:val="16"/>
              </w:rPr>
              <w:t>Perfluorooctanoic Acid (PFOA)</w:t>
            </w:r>
          </w:p>
        </w:tc>
        <w:tc>
          <w:tcPr>
            <w:tcW w:w="1350" w:type="dxa"/>
          </w:tcPr>
          <w:p w14:paraId="01C3737F" w14:textId="77777777" w:rsidR="005167FD" w:rsidRPr="002A6DFD" w:rsidRDefault="005167FD" w:rsidP="00D22252">
            <w:pPr>
              <w:keepNext/>
              <w:keepLines/>
              <w:spacing w:before="120" w:after="120"/>
              <w:jc w:val="center"/>
              <w:rPr>
                <w:color w:val="000000" w:themeColor="text1"/>
                <w:sz w:val="16"/>
                <w:szCs w:val="16"/>
              </w:rPr>
            </w:pPr>
            <w:r w:rsidRPr="002A6DFD">
              <w:rPr>
                <w:color w:val="000000" w:themeColor="text1"/>
                <w:sz w:val="16"/>
                <w:szCs w:val="16"/>
              </w:rPr>
              <w:t>See references</w:t>
            </w:r>
          </w:p>
        </w:tc>
        <w:tc>
          <w:tcPr>
            <w:tcW w:w="3621" w:type="dxa"/>
          </w:tcPr>
          <w:p w14:paraId="01C37380" w14:textId="77777777" w:rsidR="005167FD" w:rsidRPr="002A6DFD" w:rsidRDefault="005167FD" w:rsidP="00D22252">
            <w:pPr>
              <w:pStyle w:val="sBullet"/>
              <w:numPr>
                <w:ilvl w:val="0"/>
                <w:numId w:val="0"/>
              </w:numPr>
              <w:spacing w:before="120" w:after="120"/>
              <w:contextualSpacing w:val="0"/>
            </w:pPr>
            <w:proofErr w:type="spellStart"/>
            <w:r w:rsidRPr="002A6DFD">
              <w:t>Perfluorooctane</w:t>
            </w:r>
            <w:proofErr w:type="spellEnd"/>
            <w:r w:rsidRPr="002A6DFD">
              <w:t xml:space="preserve"> sulfonates (PFOS) C8F17SO2X (X = OH, Metal salt (O-M+), halide, amide, and other derivatives including polymers):</w:t>
            </w:r>
          </w:p>
          <w:p w14:paraId="01C37381" w14:textId="77777777" w:rsidR="005167FD" w:rsidRPr="002A6DFD" w:rsidRDefault="005167FD" w:rsidP="00A714D1">
            <w:pPr>
              <w:pStyle w:val="sBullet"/>
              <w:numPr>
                <w:ilvl w:val="0"/>
                <w:numId w:val="34"/>
              </w:numPr>
              <w:contextualSpacing w:val="0"/>
            </w:pPr>
            <w:r w:rsidRPr="002A6DFD">
              <w:t xml:space="preserve">Must not be used in concentrations equal to or greater than 0.1% (1000 ppm) by weight in parts, components, or products. </w:t>
            </w:r>
          </w:p>
          <w:p w14:paraId="01C37382" w14:textId="77777777" w:rsidR="005167FD" w:rsidRPr="002A6DFD" w:rsidRDefault="005167FD" w:rsidP="00A714D1">
            <w:pPr>
              <w:pStyle w:val="sBullet"/>
              <w:numPr>
                <w:ilvl w:val="0"/>
                <w:numId w:val="34"/>
              </w:numPr>
              <w:contextualSpacing w:val="0"/>
            </w:pPr>
            <w:r w:rsidRPr="002A6DFD">
              <w:t xml:space="preserve">For textiles or other coated </w:t>
            </w:r>
            <w:proofErr w:type="gramStart"/>
            <w:r w:rsidRPr="002A6DFD">
              <w:t>materials</w:t>
            </w:r>
            <w:proofErr w:type="gramEnd"/>
            <w:r w:rsidRPr="002A6DFD">
              <w:t xml:space="preserve"> the concentration must not be higher than 1 </w:t>
            </w:r>
            <w:proofErr w:type="spellStart"/>
            <w:r w:rsidRPr="002A6DFD">
              <w:t>μg</w:t>
            </w:r>
            <w:proofErr w:type="spellEnd"/>
            <w:r w:rsidRPr="002A6DFD">
              <w:t>/m</w:t>
            </w:r>
            <w:r w:rsidRPr="002A6DFD">
              <w:rPr>
                <w:vertAlign w:val="superscript"/>
              </w:rPr>
              <w:t>2</w:t>
            </w:r>
            <w:r w:rsidRPr="002A6DFD">
              <w:t>.</w:t>
            </w:r>
          </w:p>
          <w:p w14:paraId="01C37383" w14:textId="77777777" w:rsidR="005167FD" w:rsidRPr="002A6DFD" w:rsidRDefault="005167FD" w:rsidP="00A714D1">
            <w:pPr>
              <w:pStyle w:val="sBullet"/>
              <w:numPr>
                <w:ilvl w:val="0"/>
                <w:numId w:val="34"/>
              </w:numPr>
              <w:contextualSpacing w:val="0"/>
            </w:pPr>
            <w:r w:rsidRPr="002A6DFD">
              <w:t>Must not be placed on the market or used in substance or mixtures in concentrations equal to or greater than 0.005% (50 ppm) by weight.</w:t>
            </w:r>
          </w:p>
          <w:p w14:paraId="01C37384" w14:textId="77777777" w:rsidR="005167FD" w:rsidRPr="002A6DFD" w:rsidRDefault="005167FD" w:rsidP="00D22252">
            <w:pPr>
              <w:pStyle w:val="sBullet"/>
              <w:numPr>
                <w:ilvl w:val="0"/>
                <w:numId w:val="0"/>
              </w:numPr>
              <w:spacing w:before="120" w:after="120"/>
              <w:contextualSpacing w:val="0"/>
            </w:pPr>
            <w:r w:rsidRPr="002A6DFD">
              <w:t>Some exemptions apply – refer to references.</w:t>
            </w:r>
          </w:p>
          <w:p w14:paraId="01C37385" w14:textId="08851BCC" w:rsidR="005167FD" w:rsidRPr="002A6DFD" w:rsidRDefault="005167FD" w:rsidP="00D22252">
            <w:pPr>
              <w:pStyle w:val="sBullet"/>
              <w:numPr>
                <w:ilvl w:val="0"/>
                <w:numId w:val="0"/>
              </w:numPr>
              <w:spacing w:before="120" w:after="120"/>
              <w:contextualSpacing w:val="0"/>
            </w:pPr>
            <w:r w:rsidRPr="002A6DFD">
              <w:t xml:space="preserve"> PFOA is a REACH SVHC and is being investigated for similar risks as PFOS so should be treated in a similar fashion; it has already been restricted by Norway in some products.</w:t>
            </w:r>
          </w:p>
        </w:tc>
        <w:tc>
          <w:tcPr>
            <w:tcW w:w="2432" w:type="dxa"/>
            <w:gridSpan w:val="2"/>
          </w:tcPr>
          <w:p w14:paraId="01C37386" w14:textId="64353C9D" w:rsidR="005167FD" w:rsidRPr="002A6DFD" w:rsidRDefault="005167FD" w:rsidP="00D22252">
            <w:pPr>
              <w:pStyle w:val="sBullet"/>
              <w:numPr>
                <w:ilvl w:val="0"/>
                <w:numId w:val="0"/>
              </w:numPr>
              <w:spacing w:before="120" w:after="120"/>
              <w:contextualSpacing w:val="0"/>
            </w:pPr>
            <w:r w:rsidRPr="002A6DFD">
              <w:t xml:space="preserve">EU – Regulation EC 1907/2006 </w:t>
            </w:r>
            <w:r w:rsidR="00380FE2" w:rsidRPr="00380FE2">
              <w:t xml:space="preserve">Annex 17 </w:t>
            </w:r>
            <w:r w:rsidRPr="002A6DFD">
              <w:t>and its amendments</w:t>
            </w:r>
          </w:p>
          <w:p w14:paraId="316C4CF5" w14:textId="77777777" w:rsidR="005167FD" w:rsidRPr="002A6DFD" w:rsidRDefault="005167FD" w:rsidP="00D22252">
            <w:pPr>
              <w:pStyle w:val="sBullet"/>
              <w:numPr>
                <w:ilvl w:val="0"/>
                <w:numId w:val="0"/>
              </w:numPr>
              <w:spacing w:before="120" w:after="120"/>
              <w:contextualSpacing w:val="0"/>
            </w:pPr>
            <w:r w:rsidRPr="002A6DFD">
              <w:t>NE Atlantic Region – OSPAR</w:t>
            </w:r>
          </w:p>
          <w:p w14:paraId="01C37387" w14:textId="6531D799" w:rsidR="005167FD" w:rsidRPr="002A6DFD" w:rsidRDefault="005167FD" w:rsidP="00D22252">
            <w:pPr>
              <w:pStyle w:val="sBullet"/>
              <w:numPr>
                <w:ilvl w:val="0"/>
                <w:numId w:val="0"/>
              </w:numPr>
              <w:spacing w:before="120" w:after="120"/>
              <w:contextualSpacing w:val="0"/>
            </w:pPr>
            <w:r w:rsidRPr="002A6DFD">
              <w:t xml:space="preserve">Norway – Regulation </w:t>
            </w:r>
          </w:p>
        </w:tc>
      </w:tr>
      <w:tr w:rsidR="005167FD" w:rsidRPr="00CA64FE" w14:paraId="01C3738D" w14:textId="77777777" w:rsidTr="006F364B">
        <w:trPr>
          <w:gridBefore w:val="1"/>
          <w:wBefore w:w="9" w:type="dxa"/>
          <w:cantSplit/>
        </w:trPr>
        <w:tc>
          <w:tcPr>
            <w:tcW w:w="2137" w:type="dxa"/>
          </w:tcPr>
          <w:p w14:paraId="01C37389" w14:textId="77777777" w:rsidR="005167FD" w:rsidRPr="00CA64FE" w:rsidRDefault="005167FD" w:rsidP="00D22252">
            <w:pPr>
              <w:keepNext/>
              <w:keepLines/>
              <w:spacing w:before="120" w:after="120"/>
              <w:rPr>
                <w:color w:val="000000" w:themeColor="text1"/>
                <w:sz w:val="16"/>
                <w:szCs w:val="16"/>
              </w:rPr>
            </w:pPr>
            <w:r w:rsidRPr="00CA64FE">
              <w:rPr>
                <w:color w:val="000000" w:themeColor="text1"/>
                <w:sz w:val="16"/>
                <w:szCs w:val="16"/>
              </w:rPr>
              <w:t>Phenol,2-(2H-benzotriazol-2-yl)-4,6-bis(1,1-dimethylethyl)</w:t>
            </w:r>
          </w:p>
        </w:tc>
        <w:tc>
          <w:tcPr>
            <w:tcW w:w="1350" w:type="dxa"/>
          </w:tcPr>
          <w:p w14:paraId="01C3738A" w14:textId="77777777" w:rsidR="005167FD" w:rsidRPr="00CA64FE" w:rsidRDefault="005167FD" w:rsidP="00D22252">
            <w:pPr>
              <w:keepNext/>
              <w:keepLines/>
              <w:spacing w:before="120" w:after="120"/>
              <w:jc w:val="center"/>
              <w:rPr>
                <w:color w:val="000000" w:themeColor="text1"/>
                <w:sz w:val="16"/>
                <w:szCs w:val="16"/>
              </w:rPr>
            </w:pPr>
            <w:r w:rsidRPr="00CA64FE">
              <w:rPr>
                <w:color w:val="000000" w:themeColor="text1"/>
                <w:sz w:val="16"/>
                <w:szCs w:val="16"/>
              </w:rPr>
              <w:t>3846-71-7</w:t>
            </w:r>
          </w:p>
        </w:tc>
        <w:tc>
          <w:tcPr>
            <w:tcW w:w="3621" w:type="dxa"/>
          </w:tcPr>
          <w:p w14:paraId="01C3738B" w14:textId="77777777" w:rsidR="005167FD" w:rsidRPr="00CA64FE" w:rsidRDefault="005167FD" w:rsidP="00D22252">
            <w:pPr>
              <w:pStyle w:val="sBullet"/>
              <w:numPr>
                <w:ilvl w:val="0"/>
                <w:numId w:val="0"/>
              </w:numPr>
              <w:spacing w:before="120" w:after="120"/>
              <w:contextualSpacing w:val="0"/>
            </w:pPr>
            <w:r w:rsidRPr="00CA64FE">
              <w:t>Not to be used.</w:t>
            </w:r>
          </w:p>
        </w:tc>
        <w:tc>
          <w:tcPr>
            <w:tcW w:w="2432" w:type="dxa"/>
            <w:gridSpan w:val="2"/>
          </w:tcPr>
          <w:p w14:paraId="01C3738C" w14:textId="77777777" w:rsidR="005167FD" w:rsidRPr="00CA64FE" w:rsidRDefault="005167FD" w:rsidP="00D22252">
            <w:pPr>
              <w:keepNext/>
              <w:keepLines/>
              <w:spacing w:before="120" w:after="120"/>
              <w:rPr>
                <w:color w:val="000000" w:themeColor="text1"/>
                <w:sz w:val="16"/>
                <w:szCs w:val="16"/>
              </w:rPr>
            </w:pPr>
            <w:r w:rsidRPr="00CA64FE">
              <w:rPr>
                <w:color w:val="000000" w:themeColor="text1"/>
                <w:sz w:val="16"/>
                <w:szCs w:val="16"/>
              </w:rPr>
              <w:t>Japan – Law Concerning the Examination and Regulation of Manufacture of Chemical Substances, Class I</w:t>
            </w:r>
          </w:p>
        </w:tc>
      </w:tr>
      <w:tr w:rsidR="005167FD" w:rsidRPr="00CA64FE" w14:paraId="01C37393" w14:textId="77777777" w:rsidTr="006F364B">
        <w:trPr>
          <w:gridBefore w:val="1"/>
          <w:wBefore w:w="9" w:type="dxa"/>
          <w:cantSplit/>
        </w:trPr>
        <w:tc>
          <w:tcPr>
            <w:tcW w:w="2137" w:type="dxa"/>
          </w:tcPr>
          <w:p w14:paraId="01C3738E" w14:textId="77777777" w:rsidR="005167FD" w:rsidRPr="00CA64FE" w:rsidRDefault="005167FD" w:rsidP="00D22252">
            <w:pPr>
              <w:keepNext/>
              <w:keepLines/>
              <w:spacing w:before="120" w:after="120"/>
              <w:rPr>
                <w:color w:val="000000" w:themeColor="text1"/>
                <w:sz w:val="16"/>
                <w:szCs w:val="16"/>
              </w:rPr>
            </w:pPr>
            <w:r>
              <w:rPr>
                <w:color w:val="000000" w:themeColor="text1"/>
                <w:sz w:val="16"/>
                <w:szCs w:val="16"/>
              </w:rPr>
              <w:t>Phthalates</w:t>
            </w:r>
          </w:p>
        </w:tc>
        <w:tc>
          <w:tcPr>
            <w:tcW w:w="1350" w:type="dxa"/>
          </w:tcPr>
          <w:p w14:paraId="01C3738F" w14:textId="77777777" w:rsidR="005167FD" w:rsidRPr="00E5181A" w:rsidRDefault="005167FD" w:rsidP="000D15DF">
            <w:pPr>
              <w:keepNext/>
              <w:keepLines/>
              <w:spacing w:before="120" w:after="120"/>
              <w:jc w:val="center"/>
              <w:rPr>
                <w:color w:val="000000" w:themeColor="text1"/>
                <w:sz w:val="16"/>
                <w:szCs w:val="16"/>
              </w:rPr>
            </w:pPr>
            <w:r w:rsidRPr="00E5181A">
              <w:rPr>
                <w:color w:val="000000" w:themeColor="text1"/>
                <w:sz w:val="16"/>
                <w:szCs w:val="16"/>
              </w:rPr>
              <w:t>See references</w:t>
            </w:r>
          </w:p>
        </w:tc>
        <w:tc>
          <w:tcPr>
            <w:tcW w:w="3621" w:type="dxa"/>
          </w:tcPr>
          <w:p w14:paraId="01C37390" w14:textId="16A09543" w:rsidR="005167FD" w:rsidRPr="0038743A" w:rsidRDefault="005167FD" w:rsidP="00E1659C">
            <w:pPr>
              <w:pStyle w:val="sBullet"/>
              <w:numPr>
                <w:ilvl w:val="0"/>
                <w:numId w:val="0"/>
              </w:numPr>
              <w:spacing w:before="120" w:after="120"/>
              <w:contextualSpacing w:val="0"/>
            </w:pPr>
            <w:r w:rsidRPr="0038743A">
              <w:t xml:space="preserve">In addition to the </w:t>
            </w:r>
            <w:r w:rsidR="0094042C">
              <w:t xml:space="preserve">RoHS restrictions and </w:t>
            </w:r>
            <w:r w:rsidRPr="0038743A">
              <w:t xml:space="preserve">REACH SVHC reporting requirements and sunset dates for specified phthalates, various regions are also imposing various </w:t>
            </w:r>
            <w:r>
              <w:t>restrictions on phthalates</w:t>
            </w:r>
            <w:r w:rsidRPr="0038743A">
              <w:t xml:space="preserve"> in some products. Use of these phthalates in concentrations greater than 0.1% by weight, even when allowed by the regulations, should be avoided to minimize concerns.</w:t>
            </w:r>
            <w:r>
              <w:t xml:space="preserve"> Use of any phthalates in concentrations greater than 0.1% are to be </w:t>
            </w:r>
            <w:r w:rsidR="00E1659C">
              <w:t>declared</w:t>
            </w:r>
            <w:r>
              <w:t>.</w:t>
            </w:r>
          </w:p>
        </w:tc>
        <w:tc>
          <w:tcPr>
            <w:tcW w:w="2432" w:type="dxa"/>
            <w:gridSpan w:val="2"/>
          </w:tcPr>
          <w:p w14:paraId="39C4C174" w14:textId="77777777" w:rsidR="0094042C" w:rsidRPr="0094042C" w:rsidRDefault="0094042C" w:rsidP="00D22252">
            <w:pPr>
              <w:keepNext/>
              <w:keepLines/>
              <w:spacing w:before="120" w:after="120"/>
              <w:rPr>
                <w:color w:val="000000" w:themeColor="text1"/>
                <w:sz w:val="16"/>
                <w:szCs w:val="16"/>
              </w:rPr>
            </w:pPr>
            <w:r w:rsidRPr="0094042C">
              <w:rPr>
                <w:sz w:val="16"/>
                <w:szCs w:val="16"/>
              </w:rPr>
              <w:t>EU – Directive (EU) 2015/863 and its amendments</w:t>
            </w:r>
            <w:r w:rsidRPr="0094042C">
              <w:rPr>
                <w:color w:val="000000" w:themeColor="text1"/>
                <w:sz w:val="16"/>
                <w:szCs w:val="16"/>
              </w:rPr>
              <w:t xml:space="preserve"> </w:t>
            </w:r>
          </w:p>
          <w:p w14:paraId="01C37391" w14:textId="0EC51509" w:rsidR="005167FD" w:rsidRPr="0094042C" w:rsidRDefault="005167FD" w:rsidP="00D22252">
            <w:pPr>
              <w:keepNext/>
              <w:keepLines/>
              <w:spacing w:before="120" w:after="120"/>
              <w:rPr>
                <w:color w:val="000000" w:themeColor="text1"/>
                <w:sz w:val="16"/>
                <w:szCs w:val="16"/>
              </w:rPr>
            </w:pPr>
            <w:r w:rsidRPr="0094042C">
              <w:rPr>
                <w:color w:val="000000" w:themeColor="text1"/>
                <w:sz w:val="16"/>
                <w:szCs w:val="16"/>
              </w:rPr>
              <w:t xml:space="preserve">EU – Regulation 1907/2006 </w:t>
            </w:r>
            <w:r w:rsidR="00380FE2" w:rsidRPr="0094042C">
              <w:rPr>
                <w:color w:val="000000" w:themeColor="text1"/>
                <w:sz w:val="16"/>
                <w:szCs w:val="16"/>
              </w:rPr>
              <w:t xml:space="preserve">Annex 17 </w:t>
            </w:r>
            <w:r w:rsidRPr="0094042C">
              <w:rPr>
                <w:color w:val="000000" w:themeColor="text1"/>
                <w:sz w:val="16"/>
                <w:szCs w:val="16"/>
              </w:rPr>
              <w:t>and its amendments</w:t>
            </w:r>
          </w:p>
          <w:p w14:paraId="5AFA23EA" w14:textId="77777777" w:rsidR="005167FD" w:rsidRPr="0094042C" w:rsidRDefault="005167FD" w:rsidP="00D22252">
            <w:pPr>
              <w:keepNext/>
              <w:keepLines/>
              <w:spacing w:before="120" w:after="120"/>
              <w:rPr>
                <w:color w:val="000000" w:themeColor="text1"/>
                <w:sz w:val="16"/>
                <w:szCs w:val="16"/>
              </w:rPr>
            </w:pPr>
            <w:r w:rsidRPr="0094042C">
              <w:rPr>
                <w:color w:val="000000" w:themeColor="text1"/>
                <w:sz w:val="16"/>
                <w:szCs w:val="16"/>
              </w:rPr>
              <w:t>Denmark Executive Order BEK No.</w:t>
            </w:r>
            <w:r w:rsidR="008B6E10" w:rsidRPr="0094042C">
              <w:rPr>
                <w:color w:val="000000" w:themeColor="text1"/>
                <w:sz w:val="16"/>
                <w:szCs w:val="16"/>
              </w:rPr>
              <w:t xml:space="preserve"> 1113</w:t>
            </w:r>
          </w:p>
          <w:p w14:paraId="455540BE" w14:textId="77777777" w:rsidR="008B6E10" w:rsidRPr="0094042C" w:rsidRDefault="008B6E10" w:rsidP="00D22252">
            <w:pPr>
              <w:keepNext/>
              <w:keepLines/>
              <w:spacing w:before="120" w:after="120"/>
              <w:rPr>
                <w:color w:val="000000" w:themeColor="text1"/>
                <w:sz w:val="16"/>
                <w:szCs w:val="16"/>
              </w:rPr>
            </w:pPr>
            <w:r w:rsidRPr="0094042C">
              <w:rPr>
                <w:color w:val="000000" w:themeColor="text1"/>
                <w:sz w:val="16"/>
                <w:szCs w:val="16"/>
              </w:rPr>
              <w:t>EU – Directive 2011/65/EU and its amendments</w:t>
            </w:r>
          </w:p>
          <w:p w14:paraId="01C37392" w14:textId="69D3E0A7" w:rsidR="003E61C1" w:rsidRPr="0094042C" w:rsidRDefault="003E61C1" w:rsidP="00D22252">
            <w:pPr>
              <w:keepNext/>
              <w:keepLines/>
              <w:spacing w:before="120" w:after="120"/>
              <w:rPr>
                <w:color w:val="000000" w:themeColor="text1"/>
                <w:sz w:val="16"/>
                <w:szCs w:val="16"/>
              </w:rPr>
            </w:pPr>
            <w:r w:rsidRPr="0094042C">
              <w:rPr>
                <w:sz w:val="16"/>
                <w:szCs w:val="16"/>
              </w:rPr>
              <w:t>EU – (EU)2015/86</w:t>
            </w:r>
            <w:r w:rsidR="008A52FB" w:rsidRPr="0094042C">
              <w:rPr>
                <w:sz w:val="16"/>
                <w:szCs w:val="16"/>
              </w:rPr>
              <w:t>3</w:t>
            </w:r>
          </w:p>
        </w:tc>
      </w:tr>
      <w:tr w:rsidR="005167FD" w:rsidRPr="00CA64FE" w14:paraId="01C37398" w14:textId="77777777" w:rsidTr="006F364B">
        <w:trPr>
          <w:gridBefore w:val="1"/>
          <w:wBefore w:w="9" w:type="dxa"/>
          <w:cantSplit/>
        </w:trPr>
        <w:tc>
          <w:tcPr>
            <w:tcW w:w="2137" w:type="dxa"/>
          </w:tcPr>
          <w:p w14:paraId="01C37394" w14:textId="77777777" w:rsidR="005167FD" w:rsidRDefault="005167FD" w:rsidP="00065324">
            <w:pPr>
              <w:keepNext/>
              <w:keepLines/>
              <w:spacing w:before="120" w:after="120"/>
              <w:rPr>
                <w:color w:val="000000" w:themeColor="text1"/>
                <w:sz w:val="16"/>
                <w:szCs w:val="16"/>
              </w:rPr>
            </w:pPr>
            <w:proofErr w:type="spellStart"/>
            <w:r>
              <w:rPr>
                <w:color w:val="000000" w:themeColor="text1"/>
                <w:sz w:val="16"/>
                <w:szCs w:val="16"/>
              </w:rPr>
              <w:t>Polybrominatedbiphenyl</w:t>
            </w:r>
            <w:proofErr w:type="spellEnd"/>
            <w:r>
              <w:rPr>
                <w:color w:val="000000" w:themeColor="text1"/>
                <w:sz w:val="16"/>
                <w:szCs w:val="16"/>
              </w:rPr>
              <w:t xml:space="preserve"> (PBB)</w:t>
            </w:r>
          </w:p>
        </w:tc>
        <w:tc>
          <w:tcPr>
            <w:tcW w:w="1350" w:type="dxa"/>
          </w:tcPr>
          <w:p w14:paraId="01C37395" w14:textId="77777777" w:rsidR="005167FD" w:rsidRPr="00E5181A" w:rsidRDefault="005167FD" w:rsidP="000D15DF">
            <w:pPr>
              <w:keepNext/>
              <w:keepLines/>
              <w:spacing w:before="120" w:after="120"/>
              <w:jc w:val="center"/>
              <w:rPr>
                <w:color w:val="000000" w:themeColor="text1"/>
                <w:sz w:val="16"/>
                <w:szCs w:val="16"/>
              </w:rPr>
            </w:pPr>
            <w:r>
              <w:rPr>
                <w:color w:val="000000" w:themeColor="text1"/>
                <w:sz w:val="16"/>
                <w:szCs w:val="16"/>
              </w:rPr>
              <w:t>59536-65-1</w:t>
            </w:r>
          </w:p>
        </w:tc>
        <w:tc>
          <w:tcPr>
            <w:tcW w:w="3621" w:type="dxa"/>
          </w:tcPr>
          <w:p w14:paraId="01C37396" w14:textId="77777777" w:rsidR="005167FD" w:rsidRDefault="005167FD" w:rsidP="00A51130">
            <w:pPr>
              <w:pStyle w:val="sBullet"/>
              <w:numPr>
                <w:ilvl w:val="0"/>
                <w:numId w:val="0"/>
              </w:numPr>
              <w:spacing w:before="120" w:after="120"/>
              <w:contextualSpacing w:val="0"/>
            </w:pPr>
            <w:r>
              <w:t>In addition to RoHS restrictions, not to be otherwise used.</w:t>
            </w:r>
          </w:p>
        </w:tc>
        <w:tc>
          <w:tcPr>
            <w:tcW w:w="2432" w:type="dxa"/>
            <w:gridSpan w:val="2"/>
          </w:tcPr>
          <w:p w14:paraId="01C37397" w14:textId="16151F3A" w:rsidR="005167FD" w:rsidRPr="00065324" w:rsidRDefault="005167FD" w:rsidP="00D22252">
            <w:pPr>
              <w:keepNext/>
              <w:keepLines/>
              <w:spacing w:before="120" w:after="120"/>
              <w:rPr>
                <w:color w:val="000000" w:themeColor="text1"/>
                <w:sz w:val="16"/>
                <w:szCs w:val="16"/>
              </w:rPr>
            </w:pPr>
            <w:r w:rsidRPr="00065324">
              <w:rPr>
                <w:sz w:val="16"/>
                <w:szCs w:val="16"/>
              </w:rPr>
              <w:t xml:space="preserve">EU – Regulation 1907/2006 </w:t>
            </w:r>
            <w:r w:rsidR="00380FE2" w:rsidRPr="00380FE2">
              <w:rPr>
                <w:sz w:val="16"/>
                <w:szCs w:val="16"/>
              </w:rPr>
              <w:t xml:space="preserve">Annex 17 </w:t>
            </w:r>
            <w:r w:rsidRPr="00065324">
              <w:rPr>
                <w:sz w:val="16"/>
                <w:szCs w:val="16"/>
              </w:rPr>
              <w:t>and its amendments</w:t>
            </w:r>
          </w:p>
        </w:tc>
      </w:tr>
      <w:tr w:rsidR="005167FD" w:rsidRPr="00CA64FE" w14:paraId="01C3739D" w14:textId="77777777" w:rsidTr="006F364B">
        <w:trPr>
          <w:gridBefore w:val="1"/>
          <w:wBefore w:w="9" w:type="dxa"/>
          <w:cantSplit/>
        </w:trPr>
        <w:tc>
          <w:tcPr>
            <w:tcW w:w="2137" w:type="dxa"/>
          </w:tcPr>
          <w:p w14:paraId="01C37399" w14:textId="77777777" w:rsidR="005167FD" w:rsidRDefault="005167FD" w:rsidP="00023E82">
            <w:pPr>
              <w:keepNext/>
              <w:keepLines/>
              <w:spacing w:before="120" w:after="120"/>
              <w:rPr>
                <w:color w:val="000000" w:themeColor="text1"/>
                <w:sz w:val="16"/>
                <w:szCs w:val="16"/>
              </w:rPr>
            </w:pPr>
            <w:r>
              <w:rPr>
                <w:color w:val="000000" w:themeColor="text1"/>
                <w:sz w:val="16"/>
                <w:szCs w:val="16"/>
              </w:rPr>
              <w:t xml:space="preserve">Polybrominated diphenyl ethers: </w:t>
            </w:r>
            <w:proofErr w:type="spellStart"/>
            <w:proofErr w:type="gramStart"/>
            <w:r>
              <w:rPr>
                <w:color w:val="000000" w:themeColor="text1"/>
                <w:sz w:val="16"/>
                <w:szCs w:val="16"/>
              </w:rPr>
              <w:t>pentabromo</w:t>
            </w:r>
            <w:proofErr w:type="spellEnd"/>
            <w:r>
              <w:rPr>
                <w:color w:val="000000" w:themeColor="text1"/>
                <w:sz w:val="16"/>
                <w:szCs w:val="16"/>
              </w:rPr>
              <w:t xml:space="preserve">  and</w:t>
            </w:r>
            <w:proofErr w:type="gramEnd"/>
            <w:r>
              <w:rPr>
                <w:color w:val="000000" w:themeColor="text1"/>
                <w:sz w:val="16"/>
                <w:szCs w:val="16"/>
              </w:rPr>
              <w:t xml:space="preserve"> </w:t>
            </w:r>
            <w:proofErr w:type="spellStart"/>
            <w:r>
              <w:rPr>
                <w:color w:val="000000" w:themeColor="text1"/>
                <w:sz w:val="16"/>
                <w:szCs w:val="16"/>
              </w:rPr>
              <w:t>octabromo</w:t>
            </w:r>
            <w:proofErr w:type="spellEnd"/>
            <w:r>
              <w:rPr>
                <w:color w:val="000000" w:themeColor="text1"/>
                <w:sz w:val="16"/>
                <w:szCs w:val="16"/>
              </w:rPr>
              <w:t xml:space="preserve"> derivatives</w:t>
            </w:r>
          </w:p>
        </w:tc>
        <w:tc>
          <w:tcPr>
            <w:tcW w:w="1350" w:type="dxa"/>
          </w:tcPr>
          <w:p w14:paraId="01C3739A" w14:textId="77777777" w:rsidR="005167FD" w:rsidRPr="00E5181A" w:rsidRDefault="005167FD" w:rsidP="00A94F83">
            <w:pPr>
              <w:keepNext/>
              <w:keepLines/>
              <w:spacing w:before="120" w:after="120"/>
              <w:jc w:val="center"/>
              <w:rPr>
                <w:color w:val="000000" w:themeColor="text1"/>
                <w:sz w:val="16"/>
                <w:szCs w:val="16"/>
              </w:rPr>
            </w:pPr>
            <w:r w:rsidRPr="00E5181A">
              <w:rPr>
                <w:color w:val="000000" w:themeColor="text1"/>
                <w:sz w:val="16"/>
                <w:szCs w:val="16"/>
              </w:rPr>
              <w:t>See references</w:t>
            </w:r>
          </w:p>
        </w:tc>
        <w:tc>
          <w:tcPr>
            <w:tcW w:w="3621" w:type="dxa"/>
          </w:tcPr>
          <w:p w14:paraId="01C3739B" w14:textId="77777777" w:rsidR="005167FD" w:rsidRDefault="005167FD" w:rsidP="00D22252">
            <w:pPr>
              <w:pStyle w:val="sBullet"/>
              <w:numPr>
                <w:ilvl w:val="0"/>
                <w:numId w:val="0"/>
              </w:numPr>
              <w:spacing w:before="120" w:after="120"/>
              <w:contextualSpacing w:val="0"/>
            </w:pPr>
            <w:r>
              <w:t>In addition to RoHS restrictions, not to be used in articles if flame-retardant parts contain the substance in concentrations higher than 0.1% by mass.</w:t>
            </w:r>
          </w:p>
        </w:tc>
        <w:tc>
          <w:tcPr>
            <w:tcW w:w="2432" w:type="dxa"/>
            <w:gridSpan w:val="2"/>
          </w:tcPr>
          <w:p w14:paraId="01C3739C" w14:textId="14DE69B8" w:rsidR="005167FD" w:rsidRPr="00065324" w:rsidRDefault="005167FD" w:rsidP="00A94F83">
            <w:pPr>
              <w:keepNext/>
              <w:keepLines/>
              <w:spacing w:before="120" w:after="120"/>
              <w:rPr>
                <w:color w:val="000000" w:themeColor="text1"/>
                <w:sz w:val="16"/>
                <w:szCs w:val="16"/>
              </w:rPr>
            </w:pPr>
            <w:r w:rsidRPr="00065324">
              <w:rPr>
                <w:sz w:val="16"/>
                <w:szCs w:val="16"/>
              </w:rPr>
              <w:t xml:space="preserve">EU – Regulation 1907/2006 </w:t>
            </w:r>
            <w:r w:rsidR="00380FE2" w:rsidRPr="00380FE2">
              <w:rPr>
                <w:sz w:val="16"/>
                <w:szCs w:val="16"/>
              </w:rPr>
              <w:t xml:space="preserve">Annex 17 </w:t>
            </w:r>
            <w:r w:rsidRPr="00065324">
              <w:rPr>
                <w:sz w:val="16"/>
                <w:szCs w:val="16"/>
              </w:rPr>
              <w:t>and its amendments</w:t>
            </w:r>
          </w:p>
        </w:tc>
      </w:tr>
      <w:tr w:rsidR="005167FD" w:rsidRPr="00BA64FA" w14:paraId="01C373A8" w14:textId="77777777" w:rsidTr="006F364B">
        <w:trPr>
          <w:gridBefore w:val="1"/>
          <w:wBefore w:w="9" w:type="dxa"/>
          <w:cantSplit/>
        </w:trPr>
        <w:tc>
          <w:tcPr>
            <w:tcW w:w="2137" w:type="dxa"/>
          </w:tcPr>
          <w:p w14:paraId="01C3739E" w14:textId="77777777" w:rsidR="005167FD" w:rsidRDefault="005167FD" w:rsidP="00D22252">
            <w:pPr>
              <w:keepNext/>
              <w:keepLines/>
              <w:spacing w:before="120" w:after="120"/>
              <w:rPr>
                <w:color w:val="000000" w:themeColor="text1"/>
                <w:sz w:val="16"/>
                <w:szCs w:val="16"/>
              </w:rPr>
            </w:pPr>
            <w:r w:rsidRPr="00BA64FA">
              <w:rPr>
                <w:color w:val="000000" w:themeColor="text1"/>
                <w:sz w:val="16"/>
                <w:szCs w:val="16"/>
              </w:rPr>
              <w:lastRenderedPageBreak/>
              <w:t xml:space="preserve">Polychlorinated Biphenyls (PCB), </w:t>
            </w:r>
          </w:p>
          <w:p w14:paraId="01C3739F" w14:textId="77777777" w:rsidR="005167FD" w:rsidRDefault="005167FD" w:rsidP="00D22252">
            <w:pPr>
              <w:keepNext/>
              <w:keepLines/>
              <w:spacing w:before="120" w:after="120"/>
              <w:rPr>
                <w:color w:val="000000" w:themeColor="text1"/>
                <w:sz w:val="16"/>
                <w:szCs w:val="16"/>
              </w:rPr>
            </w:pPr>
            <w:r w:rsidRPr="00BA64FA">
              <w:rPr>
                <w:color w:val="000000" w:themeColor="text1"/>
                <w:sz w:val="16"/>
                <w:szCs w:val="16"/>
              </w:rPr>
              <w:t xml:space="preserve">Polychlorinated </w:t>
            </w:r>
            <w:proofErr w:type="spellStart"/>
            <w:r w:rsidRPr="00BA64FA">
              <w:rPr>
                <w:color w:val="000000" w:themeColor="text1"/>
                <w:sz w:val="16"/>
                <w:szCs w:val="16"/>
              </w:rPr>
              <w:t>Naphthalenes</w:t>
            </w:r>
            <w:proofErr w:type="spellEnd"/>
            <w:r w:rsidRPr="00BA64FA">
              <w:rPr>
                <w:color w:val="000000" w:themeColor="text1"/>
                <w:sz w:val="16"/>
                <w:szCs w:val="16"/>
              </w:rPr>
              <w:t xml:space="preserve"> (PCN) –</w:t>
            </w:r>
            <w:r>
              <w:rPr>
                <w:color w:val="000000" w:themeColor="text1"/>
                <w:sz w:val="16"/>
                <w:szCs w:val="16"/>
              </w:rPr>
              <w:t xml:space="preserve"> more than 3 chlorine atoms</w:t>
            </w:r>
          </w:p>
          <w:p w14:paraId="01C373A0" w14:textId="77777777" w:rsidR="005167FD" w:rsidRPr="00BA64FA" w:rsidRDefault="005167FD" w:rsidP="00D22252">
            <w:pPr>
              <w:keepNext/>
              <w:keepLines/>
              <w:spacing w:before="120" w:after="120"/>
              <w:rPr>
                <w:color w:val="000000" w:themeColor="text1"/>
                <w:sz w:val="16"/>
                <w:szCs w:val="16"/>
              </w:rPr>
            </w:pPr>
            <w:r w:rsidRPr="00BA64FA">
              <w:rPr>
                <w:color w:val="000000" w:themeColor="text1"/>
                <w:sz w:val="16"/>
                <w:szCs w:val="16"/>
              </w:rPr>
              <w:t>Polychlorinated Terphenyls (PCT)</w:t>
            </w:r>
          </w:p>
        </w:tc>
        <w:tc>
          <w:tcPr>
            <w:tcW w:w="1350" w:type="dxa"/>
          </w:tcPr>
          <w:p w14:paraId="01C373A1" w14:textId="77777777" w:rsidR="005167FD" w:rsidRPr="00BA64FA" w:rsidRDefault="005167FD" w:rsidP="00D22252">
            <w:pPr>
              <w:keepNext/>
              <w:keepLines/>
              <w:spacing w:before="120" w:after="120"/>
              <w:jc w:val="center"/>
              <w:rPr>
                <w:color w:val="000000" w:themeColor="text1"/>
                <w:sz w:val="16"/>
                <w:szCs w:val="16"/>
              </w:rPr>
            </w:pPr>
            <w:r w:rsidRPr="00BA64FA">
              <w:rPr>
                <w:color w:val="000000" w:themeColor="text1"/>
                <w:sz w:val="16"/>
                <w:szCs w:val="16"/>
              </w:rPr>
              <w:t>See references</w:t>
            </w:r>
          </w:p>
        </w:tc>
        <w:tc>
          <w:tcPr>
            <w:tcW w:w="3621" w:type="dxa"/>
          </w:tcPr>
          <w:p w14:paraId="01C373A2" w14:textId="77777777" w:rsidR="005167FD" w:rsidRPr="00BA64FA" w:rsidRDefault="005167FD" w:rsidP="00D22252">
            <w:pPr>
              <w:pStyle w:val="sBullet"/>
              <w:numPr>
                <w:ilvl w:val="0"/>
                <w:numId w:val="0"/>
              </w:numPr>
              <w:spacing w:before="120" w:after="120"/>
              <w:contextualSpacing w:val="0"/>
            </w:pPr>
            <w:r w:rsidRPr="00BA64FA">
              <w:t>Not to be intentionally added and must be below detection limits:</w:t>
            </w:r>
          </w:p>
          <w:p w14:paraId="01C373A3" w14:textId="77777777" w:rsidR="005167FD" w:rsidRPr="00BA64FA" w:rsidRDefault="005167FD" w:rsidP="00D22252">
            <w:pPr>
              <w:pStyle w:val="sBullet"/>
              <w:numPr>
                <w:ilvl w:val="0"/>
                <w:numId w:val="0"/>
              </w:numPr>
              <w:spacing w:before="120" w:after="120"/>
              <w:contextualSpacing w:val="0"/>
            </w:pPr>
            <w:r w:rsidRPr="00BA64FA">
              <w:t>PCBs and PCTs must not be detected in concentrations greater than 0.005% (50 ppm) by weight in preparations.</w:t>
            </w:r>
          </w:p>
          <w:p w14:paraId="01C373A4" w14:textId="77777777" w:rsidR="005167FD" w:rsidRPr="00BA64FA" w:rsidRDefault="005167FD" w:rsidP="00D22252">
            <w:pPr>
              <w:pStyle w:val="sBullet"/>
              <w:numPr>
                <w:ilvl w:val="0"/>
                <w:numId w:val="0"/>
              </w:numPr>
              <w:spacing w:before="120" w:after="120"/>
              <w:contextualSpacing w:val="0"/>
            </w:pPr>
            <w:r w:rsidRPr="00BA64FA">
              <w:t>PCNs must not be detected in concentrations greater than 0.0005% (5 ppm) by weight in any homogeneous material.</w:t>
            </w:r>
          </w:p>
        </w:tc>
        <w:tc>
          <w:tcPr>
            <w:tcW w:w="2432" w:type="dxa"/>
            <w:gridSpan w:val="2"/>
          </w:tcPr>
          <w:p w14:paraId="01C373A5" w14:textId="67ADAC37" w:rsidR="005167FD" w:rsidRPr="00BA64FA" w:rsidRDefault="005167FD" w:rsidP="00D22252">
            <w:pPr>
              <w:pStyle w:val="sBullet"/>
              <w:numPr>
                <w:ilvl w:val="0"/>
                <w:numId w:val="0"/>
              </w:numPr>
              <w:spacing w:before="120" w:after="120"/>
              <w:contextualSpacing w:val="0"/>
            </w:pPr>
            <w:r w:rsidRPr="00BA64FA">
              <w:t xml:space="preserve">EU – Regulation EC 1907/2006 </w:t>
            </w:r>
            <w:r w:rsidR="00380FE2" w:rsidRPr="00380FE2">
              <w:t xml:space="preserve">Annex 17 </w:t>
            </w:r>
            <w:r w:rsidRPr="00BA64FA">
              <w:t>and its amendments, Regulation EC 850/2004 and its amendments</w:t>
            </w:r>
          </w:p>
          <w:p w14:paraId="01C373A6" w14:textId="77777777" w:rsidR="005167FD" w:rsidRDefault="005167FD" w:rsidP="00D22252">
            <w:pPr>
              <w:pStyle w:val="sBullet"/>
              <w:numPr>
                <w:ilvl w:val="0"/>
                <w:numId w:val="0"/>
              </w:numPr>
              <w:spacing w:before="120" w:after="120"/>
              <w:contextualSpacing w:val="0"/>
            </w:pPr>
            <w:r w:rsidRPr="00BA64FA">
              <w:t>Japan – Law Concerning the Examination and Regulation of Manufacture of Chemical Substances, Class I</w:t>
            </w:r>
          </w:p>
          <w:p w14:paraId="22EC88C8" w14:textId="274553A8" w:rsidR="0096446A" w:rsidRPr="00BA64FA" w:rsidRDefault="0096446A" w:rsidP="00D22252">
            <w:pPr>
              <w:pStyle w:val="sBullet"/>
              <w:numPr>
                <w:ilvl w:val="0"/>
                <w:numId w:val="0"/>
              </w:numPr>
              <w:spacing w:before="120" w:after="120"/>
              <w:contextualSpacing w:val="0"/>
            </w:pPr>
            <w:r>
              <w:t xml:space="preserve">India – </w:t>
            </w:r>
            <w:r w:rsidRPr="0096446A">
              <w:t>Notification on Regulation of Polychlorinated Biphenyls(PCBs) Order, 2016</w:t>
            </w:r>
          </w:p>
          <w:p w14:paraId="01C373A7" w14:textId="77777777" w:rsidR="005167FD" w:rsidRPr="0038743A" w:rsidRDefault="005167FD" w:rsidP="00D22252">
            <w:pPr>
              <w:pStyle w:val="sBullet"/>
              <w:numPr>
                <w:ilvl w:val="0"/>
                <w:numId w:val="0"/>
              </w:numPr>
              <w:spacing w:before="120" w:after="120"/>
              <w:contextualSpacing w:val="0"/>
            </w:pPr>
            <w:r w:rsidRPr="00BA64FA">
              <w:t>NE Atlantic Region – OSPAR</w:t>
            </w:r>
          </w:p>
        </w:tc>
      </w:tr>
      <w:tr w:rsidR="005167FD" w:rsidRPr="00BA64FA" w14:paraId="01C373B7" w14:textId="77777777" w:rsidTr="006F364B">
        <w:trPr>
          <w:gridBefore w:val="1"/>
          <w:wBefore w:w="9" w:type="dxa"/>
          <w:cantSplit/>
        </w:trPr>
        <w:tc>
          <w:tcPr>
            <w:tcW w:w="2137" w:type="dxa"/>
          </w:tcPr>
          <w:p w14:paraId="01C373A9" w14:textId="77777777" w:rsidR="005167FD" w:rsidRPr="00BA64FA" w:rsidRDefault="005167FD" w:rsidP="00D22252">
            <w:pPr>
              <w:keepNext/>
              <w:keepLines/>
              <w:spacing w:before="120" w:after="120"/>
              <w:rPr>
                <w:color w:val="000000" w:themeColor="text1"/>
                <w:sz w:val="16"/>
                <w:szCs w:val="16"/>
              </w:rPr>
            </w:pPr>
            <w:r w:rsidRPr="00BA64FA">
              <w:rPr>
                <w:color w:val="000000" w:themeColor="text1"/>
                <w:sz w:val="16"/>
                <w:szCs w:val="16"/>
              </w:rPr>
              <w:t xml:space="preserve">Polycyclic Aromatic </w:t>
            </w:r>
            <w:proofErr w:type="gramStart"/>
            <w:r w:rsidRPr="00BA64FA">
              <w:rPr>
                <w:color w:val="000000" w:themeColor="text1"/>
                <w:sz w:val="16"/>
                <w:szCs w:val="16"/>
              </w:rPr>
              <w:t>Hydrocarbon  (</w:t>
            </w:r>
            <w:proofErr w:type="gramEnd"/>
            <w:r w:rsidRPr="00BA64FA">
              <w:rPr>
                <w:color w:val="000000" w:themeColor="text1"/>
                <w:sz w:val="16"/>
                <w:szCs w:val="16"/>
              </w:rPr>
              <w:t xml:space="preserve">PAH) Compounds (creosote, coal tar, </w:t>
            </w:r>
            <w:proofErr w:type="spellStart"/>
            <w:r w:rsidRPr="00BA64FA">
              <w:rPr>
                <w:color w:val="000000" w:themeColor="text1"/>
                <w:sz w:val="16"/>
                <w:szCs w:val="16"/>
              </w:rPr>
              <w:t>etc</w:t>
            </w:r>
            <w:proofErr w:type="spellEnd"/>
            <w:r w:rsidRPr="00BA64FA">
              <w:rPr>
                <w:color w:val="000000" w:themeColor="text1"/>
                <w:sz w:val="16"/>
                <w:szCs w:val="16"/>
              </w:rPr>
              <w:t>)</w:t>
            </w:r>
          </w:p>
        </w:tc>
        <w:tc>
          <w:tcPr>
            <w:tcW w:w="1350" w:type="dxa"/>
          </w:tcPr>
          <w:p w14:paraId="01C373AA" w14:textId="77777777" w:rsidR="005167FD" w:rsidRPr="00BA64FA" w:rsidRDefault="005167FD" w:rsidP="00D22252">
            <w:pPr>
              <w:keepNext/>
              <w:keepLines/>
              <w:spacing w:before="120" w:after="120"/>
              <w:jc w:val="center"/>
              <w:rPr>
                <w:color w:val="000000" w:themeColor="text1"/>
                <w:sz w:val="16"/>
                <w:szCs w:val="16"/>
              </w:rPr>
            </w:pPr>
            <w:r w:rsidRPr="00BA64FA">
              <w:rPr>
                <w:color w:val="000000" w:themeColor="text1"/>
                <w:sz w:val="16"/>
                <w:szCs w:val="16"/>
              </w:rPr>
              <w:t>See references</w:t>
            </w:r>
          </w:p>
        </w:tc>
        <w:tc>
          <w:tcPr>
            <w:tcW w:w="3621" w:type="dxa"/>
          </w:tcPr>
          <w:p w14:paraId="01C373AB" w14:textId="77777777" w:rsidR="005167FD" w:rsidRPr="00BA64FA" w:rsidRDefault="005167FD" w:rsidP="00D22252">
            <w:pPr>
              <w:keepNext/>
              <w:keepLines/>
              <w:autoSpaceDE w:val="0"/>
              <w:autoSpaceDN w:val="0"/>
              <w:adjustRightInd w:val="0"/>
              <w:spacing w:before="120" w:after="120"/>
              <w:rPr>
                <w:color w:val="000000" w:themeColor="text1"/>
                <w:sz w:val="16"/>
                <w:szCs w:val="16"/>
              </w:rPr>
            </w:pPr>
            <w:r w:rsidRPr="00BA64FA">
              <w:rPr>
                <w:color w:val="000000" w:themeColor="text1"/>
                <w:sz w:val="16"/>
                <w:szCs w:val="16"/>
              </w:rPr>
              <w:t xml:space="preserve">PAHs must not be used in the external surfaces of the products listed in concentrations greater than the limits defined by weight in any homogeneous material. </w:t>
            </w:r>
          </w:p>
          <w:p w14:paraId="01C373AC" w14:textId="77777777" w:rsidR="005167FD" w:rsidRPr="00BA64FA" w:rsidRDefault="005167FD" w:rsidP="00D22252">
            <w:pPr>
              <w:keepNext/>
              <w:keepLines/>
              <w:autoSpaceDE w:val="0"/>
              <w:autoSpaceDN w:val="0"/>
              <w:adjustRightInd w:val="0"/>
              <w:spacing w:before="120" w:after="120"/>
              <w:rPr>
                <w:color w:val="000000" w:themeColor="text1"/>
                <w:sz w:val="16"/>
                <w:szCs w:val="16"/>
              </w:rPr>
            </w:pPr>
            <w:r w:rsidRPr="00BA64FA">
              <w:rPr>
                <w:color w:val="000000" w:themeColor="text1"/>
                <w:sz w:val="16"/>
                <w:szCs w:val="16"/>
              </w:rPr>
              <w:t>Portable equipment and cables (group 2) PAH limits:</w:t>
            </w:r>
          </w:p>
          <w:p w14:paraId="01C373AD" w14:textId="77777777" w:rsidR="005167FD" w:rsidRPr="00BA64FA" w:rsidRDefault="005167FD" w:rsidP="00A714D1">
            <w:pPr>
              <w:pStyle w:val="sBullet"/>
              <w:numPr>
                <w:ilvl w:val="0"/>
                <w:numId w:val="48"/>
              </w:numPr>
              <w:contextualSpacing w:val="0"/>
            </w:pPr>
            <w:r w:rsidRPr="00BA64FA">
              <w:t>Benzo[a]</w:t>
            </w:r>
            <w:proofErr w:type="spellStart"/>
            <w:r w:rsidRPr="00BA64FA">
              <w:t>pyren</w:t>
            </w:r>
            <w:proofErr w:type="spellEnd"/>
            <w:r w:rsidRPr="00BA64FA">
              <w:t>: 1 mg/kg</w:t>
            </w:r>
          </w:p>
          <w:p w14:paraId="01C373AE" w14:textId="77777777" w:rsidR="005167FD" w:rsidRPr="00BA64FA" w:rsidRDefault="005167FD" w:rsidP="00A714D1">
            <w:pPr>
              <w:pStyle w:val="sBullet"/>
              <w:numPr>
                <w:ilvl w:val="0"/>
                <w:numId w:val="48"/>
              </w:numPr>
              <w:contextualSpacing w:val="0"/>
            </w:pPr>
            <w:r w:rsidRPr="00BA64FA">
              <w:t>Sum 16 PAH (EPA): 10 mg/kg</w:t>
            </w:r>
          </w:p>
          <w:p w14:paraId="01C373AF" w14:textId="77777777" w:rsidR="005167FD" w:rsidRPr="00BA64FA" w:rsidRDefault="005167FD" w:rsidP="00D22252">
            <w:pPr>
              <w:keepNext/>
              <w:keepLines/>
              <w:autoSpaceDE w:val="0"/>
              <w:autoSpaceDN w:val="0"/>
              <w:adjustRightInd w:val="0"/>
              <w:spacing w:before="120" w:after="120"/>
              <w:rPr>
                <w:color w:val="000000" w:themeColor="text1"/>
                <w:sz w:val="16"/>
                <w:szCs w:val="16"/>
              </w:rPr>
            </w:pPr>
            <w:r w:rsidRPr="00BA64FA">
              <w:rPr>
                <w:color w:val="000000" w:themeColor="text1"/>
                <w:sz w:val="16"/>
                <w:szCs w:val="16"/>
              </w:rPr>
              <w:t>Stationary equipment and cables (group 3) PAH limits:</w:t>
            </w:r>
          </w:p>
          <w:p w14:paraId="01C373B0" w14:textId="77777777" w:rsidR="005167FD" w:rsidRPr="00BA64FA" w:rsidRDefault="005167FD" w:rsidP="00A714D1">
            <w:pPr>
              <w:pStyle w:val="sBullet"/>
              <w:numPr>
                <w:ilvl w:val="0"/>
                <w:numId w:val="49"/>
              </w:numPr>
              <w:contextualSpacing w:val="0"/>
            </w:pPr>
            <w:r w:rsidRPr="00BA64FA">
              <w:t>Benzo[a]</w:t>
            </w:r>
            <w:proofErr w:type="spellStart"/>
            <w:r w:rsidRPr="00BA64FA">
              <w:t>pyren</w:t>
            </w:r>
            <w:proofErr w:type="spellEnd"/>
            <w:r w:rsidRPr="00BA64FA">
              <w:t>: 20 mg/kg</w:t>
            </w:r>
          </w:p>
          <w:p w14:paraId="01C373B1" w14:textId="77777777" w:rsidR="005167FD" w:rsidRPr="00BA64FA" w:rsidRDefault="005167FD" w:rsidP="00A714D1">
            <w:pPr>
              <w:pStyle w:val="sBullet"/>
              <w:numPr>
                <w:ilvl w:val="0"/>
                <w:numId w:val="49"/>
              </w:numPr>
              <w:contextualSpacing w:val="0"/>
            </w:pPr>
            <w:r w:rsidRPr="00BA64FA">
              <w:t>Sum 16 PAH (EPA): 200 mg/kg</w:t>
            </w:r>
          </w:p>
          <w:p w14:paraId="01C373B2" w14:textId="77777777" w:rsidR="005167FD" w:rsidRPr="00BA64FA" w:rsidRDefault="005167FD" w:rsidP="00D22252">
            <w:pPr>
              <w:keepNext/>
              <w:keepLines/>
              <w:spacing w:before="120" w:after="120"/>
              <w:rPr>
                <w:color w:val="000000" w:themeColor="text1"/>
                <w:sz w:val="16"/>
                <w:szCs w:val="16"/>
              </w:rPr>
            </w:pPr>
            <w:r w:rsidRPr="00BA64FA">
              <w:rPr>
                <w:color w:val="000000" w:themeColor="text1"/>
                <w:sz w:val="16"/>
                <w:szCs w:val="16"/>
              </w:rPr>
              <w:t>The limits apply to material with foreseeable contact to skin up to 30 seconds (short-term skin contact) or without skin contact.</w:t>
            </w:r>
          </w:p>
        </w:tc>
        <w:tc>
          <w:tcPr>
            <w:tcW w:w="2432" w:type="dxa"/>
            <w:gridSpan w:val="2"/>
          </w:tcPr>
          <w:p w14:paraId="01C373B3" w14:textId="6953D28D" w:rsidR="005167FD" w:rsidRPr="00BA64FA" w:rsidRDefault="005167FD" w:rsidP="00D22252">
            <w:pPr>
              <w:pStyle w:val="sBullet"/>
              <w:numPr>
                <w:ilvl w:val="0"/>
                <w:numId w:val="0"/>
              </w:numPr>
              <w:spacing w:before="120" w:after="120"/>
              <w:contextualSpacing w:val="0"/>
            </w:pPr>
            <w:r w:rsidRPr="00BA64FA">
              <w:t xml:space="preserve">EU – Regulation EC 1907/2006 </w:t>
            </w:r>
            <w:r w:rsidR="00380FE2" w:rsidRPr="00380FE2">
              <w:t xml:space="preserve">Annex 17 </w:t>
            </w:r>
            <w:r w:rsidRPr="00BA64FA">
              <w:t>and its amendments</w:t>
            </w:r>
          </w:p>
          <w:p w14:paraId="01C373B4" w14:textId="77777777" w:rsidR="005167FD" w:rsidRPr="00BA64FA" w:rsidRDefault="005167FD" w:rsidP="00D22252">
            <w:pPr>
              <w:pStyle w:val="sBullet"/>
              <w:numPr>
                <w:ilvl w:val="0"/>
                <w:numId w:val="0"/>
              </w:numPr>
              <w:spacing w:before="120" w:after="120"/>
              <w:contextualSpacing w:val="0"/>
            </w:pPr>
            <w:r w:rsidRPr="00BA64FA">
              <w:t>USA - Air Contaminants (Occupational and Safety Health Act), Hazardous Substances (Superfund) and Toxic Release Inventory Chemicals</w:t>
            </w:r>
          </w:p>
          <w:p w14:paraId="01C373B5" w14:textId="77777777" w:rsidR="005167FD" w:rsidRPr="00BA64FA" w:rsidRDefault="005167FD" w:rsidP="00D22252">
            <w:pPr>
              <w:pStyle w:val="sBullet"/>
              <w:numPr>
                <w:ilvl w:val="0"/>
                <w:numId w:val="0"/>
              </w:numPr>
              <w:spacing w:before="120" w:after="120"/>
              <w:contextualSpacing w:val="0"/>
            </w:pPr>
            <w:r w:rsidRPr="00BA64FA">
              <w:t>Germany - German Committee for Commercial Equipment and Consumer Products – mandatory limits for application of GS mark ("</w:t>
            </w:r>
            <w:proofErr w:type="spellStart"/>
            <w:r w:rsidRPr="00BA64FA">
              <w:t>Geprufte</w:t>
            </w:r>
            <w:proofErr w:type="spellEnd"/>
            <w:r w:rsidRPr="00BA64FA">
              <w:t xml:space="preserve"> </w:t>
            </w:r>
            <w:proofErr w:type="spellStart"/>
            <w:r w:rsidRPr="00BA64FA">
              <w:t>Sicherheit</w:t>
            </w:r>
            <w:proofErr w:type="spellEnd"/>
            <w:r w:rsidRPr="00BA64FA">
              <w:t>")</w:t>
            </w:r>
          </w:p>
          <w:p w14:paraId="01C373B6" w14:textId="77777777" w:rsidR="005167FD" w:rsidRPr="00BA64FA" w:rsidRDefault="005167FD" w:rsidP="00D22252">
            <w:pPr>
              <w:pStyle w:val="sBullet"/>
              <w:numPr>
                <w:ilvl w:val="0"/>
                <w:numId w:val="0"/>
              </w:numPr>
              <w:spacing w:before="120" w:after="120"/>
              <w:contextualSpacing w:val="0"/>
            </w:pPr>
            <w:r w:rsidRPr="00BA64FA">
              <w:t>NE Atlantic Region – OSPAR</w:t>
            </w:r>
          </w:p>
        </w:tc>
      </w:tr>
      <w:tr w:rsidR="005167FD" w:rsidRPr="00BA64FA" w14:paraId="01C373C1" w14:textId="77777777" w:rsidTr="006F364B">
        <w:trPr>
          <w:gridBefore w:val="1"/>
          <w:wBefore w:w="9" w:type="dxa"/>
          <w:cantSplit/>
        </w:trPr>
        <w:tc>
          <w:tcPr>
            <w:tcW w:w="2137" w:type="dxa"/>
          </w:tcPr>
          <w:p w14:paraId="01C373B8" w14:textId="77777777" w:rsidR="005167FD" w:rsidRDefault="005167FD" w:rsidP="00D22252">
            <w:pPr>
              <w:keepNext/>
              <w:keepLines/>
              <w:spacing w:before="120" w:after="120"/>
              <w:rPr>
                <w:color w:val="000000" w:themeColor="text1"/>
                <w:sz w:val="16"/>
                <w:szCs w:val="16"/>
              </w:rPr>
            </w:pPr>
            <w:r w:rsidRPr="00BA64FA">
              <w:rPr>
                <w:color w:val="000000" w:themeColor="text1"/>
                <w:sz w:val="16"/>
                <w:szCs w:val="16"/>
              </w:rPr>
              <w:t>Polyvinyl Chloride (PVC)</w:t>
            </w:r>
            <w:r>
              <w:rPr>
                <w:color w:val="000000" w:themeColor="text1"/>
                <w:sz w:val="16"/>
                <w:szCs w:val="16"/>
              </w:rPr>
              <w:t>,</w:t>
            </w:r>
          </w:p>
          <w:p w14:paraId="01C373B9" w14:textId="77777777" w:rsidR="005167FD" w:rsidRPr="00BA64FA" w:rsidRDefault="005167FD" w:rsidP="00D22252">
            <w:pPr>
              <w:keepNext/>
              <w:keepLines/>
              <w:spacing w:before="120" w:after="120"/>
              <w:rPr>
                <w:color w:val="000000" w:themeColor="text1"/>
                <w:sz w:val="16"/>
                <w:szCs w:val="16"/>
              </w:rPr>
            </w:pPr>
            <w:r>
              <w:rPr>
                <w:color w:val="000000" w:themeColor="text1"/>
                <w:sz w:val="16"/>
                <w:szCs w:val="16"/>
              </w:rPr>
              <w:t>Polyvinylidene Dichloride (PVDC)</w:t>
            </w:r>
          </w:p>
        </w:tc>
        <w:tc>
          <w:tcPr>
            <w:tcW w:w="1350" w:type="dxa"/>
          </w:tcPr>
          <w:p w14:paraId="01C373BA" w14:textId="77777777" w:rsidR="005167FD" w:rsidRDefault="005167FD" w:rsidP="00D22252">
            <w:pPr>
              <w:keepNext/>
              <w:keepLines/>
              <w:spacing w:before="120" w:after="120"/>
              <w:jc w:val="center"/>
              <w:rPr>
                <w:color w:val="000000" w:themeColor="text1"/>
                <w:sz w:val="16"/>
                <w:szCs w:val="16"/>
              </w:rPr>
            </w:pPr>
            <w:r w:rsidRPr="00BA64FA">
              <w:rPr>
                <w:color w:val="000000" w:themeColor="text1"/>
                <w:sz w:val="16"/>
                <w:szCs w:val="16"/>
              </w:rPr>
              <w:t>9002-86-2</w:t>
            </w:r>
          </w:p>
          <w:p w14:paraId="01C373BB" w14:textId="77777777" w:rsidR="005167FD" w:rsidRPr="00BA64FA" w:rsidRDefault="005167FD" w:rsidP="00D22252">
            <w:pPr>
              <w:keepNext/>
              <w:keepLines/>
              <w:spacing w:before="120" w:after="120"/>
              <w:jc w:val="center"/>
              <w:rPr>
                <w:color w:val="000000" w:themeColor="text1"/>
                <w:sz w:val="16"/>
                <w:szCs w:val="16"/>
              </w:rPr>
            </w:pPr>
            <w:r>
              <w:rPr>
                <w:color w:val="000000" w:themeColor="text1"/>
                <w:sz w:val="16"/>
                <w:szCs w:val="16"/>
              </w:rPr>
              <w:t>9002-85-1</w:t>
            </w:r>
          </w:p>
        </w:tc>
        <w:tc>
          <w:tcPr>
            <w:tcW w:w="3621" w:type="dxa"/>
          </w:tcPr>
          <w:p w14:paraId="01C373BC" w14:textId="77777777" w:rsidR="005167FD" w:rsidRPr="00BA64FA" w:rsidRDefault="005167FD" w:rsidP="00D22252">
            <w:pPr>
              <w:pStyle w:val="sBullet"/>
              <w:numPr>
                <w:ilvl w:val="0"/>
                <w:numId w:val="0"/>
              </w:numPr>
              <w:spacing w:before="120" w:after="120"/>
              <w:contextualSpacing w:val="0"/>
            </w:pPr>
            <w:r w:rsidRPr="00BA64FA">
              <w:t xml:space="preserve">Use to be avoided, when reasonable alternatives exist, for external components and coverings which are in contact with the skin under normal use. </w:t>
            </w:r>
          </w:p>
          <w:p w14:paraId="01C373BD" w14:textId="77777777" w:rsidR="005167FD" w:rsidRPr="00BA64FA" w:rsidRDefault="005167FD" w:rsidP="00D22252">
            <w:pPr>
              <w:pStyle w:val="sBullet"/>
              <w:numPr>
                <w:ilvl w:val="0"/>
                <w:numId w:val="0"/>
              </w:numPr>
              <w:spacing w:before="120" w:after="120"/>
              <w:contextualSpacing w:val="0"/>
            </w:pPr>
            <w:r w:rsidRPr="00BA64FA">
              <w:t>Use for internal components (cables, connectors, electronic components, etc.) is allowed but should be avoided when reasonable alternatives exist.</w:t>
            </w:r>
          </w:p>
          <w:p w14:paraId="01C373BE" w14:textId="77777777" w:rsidR="005167FD" w:rsidRPr="00BA64FA" w:rsidRDefault="005167FD" w:rsidP="00D22252">
            <w:pPr>
              <w:pStyle w:val="sBullet"/>
              <w:numPr>
                <w:ilvl w:val="0"/>
                <w:numId w:val="0"/>
              </w:numPr>
              <w:spacing w:before="120" w:after="120"/>
              <w:contextualSpacing w:val="0"/>
            </w:pPr>
            <w:r w:rsidRPr="00BA64FA">
              <w:t xml:space="preserve">No more than 0.1% (1000 ppm) Chlorine (from CFRs or PVC compounds) allowed in homogenous material </w:t>
            </w:r>
            <w:proofErr w:type="gramStart"/>
            <w:r w:rsidRPr="00BA64FA">
              <w:t>in order to</w:t>
            </w:r>
            <w:proofErr w:type="gramEnd"/>
            <w:r w:rsidRPr="00BA64FA">
              <w:t xml:space="preserve"> be considered “PVC-free”.</w:t>
            </w:r>
          </w:p>
          <w:p w14:paraId="01C373BF" w14:textId="77777777" w:rsidR="005167FD" w:rsidRPr="00BA64FA" w:rsidRDefault="005167FD" w:rsidP="00D22252">
            <w:pPr>
              <w:pStyle w:val="sBullet"/>
              <w:numPr>
                <w:ilvl w:val="0"/>
                <w:numId w:val="0"/>
              </w:numPr>
              <w:spacing w:before="120" w:after="120"/>
              <w:contextualSpacing w:val="0"/>
            </w:pPr>
            <w:r w:rsidRPr="00BA64FA">
              <w:t>Default reporting threshold of 0.1% (1000 ppm) by weight in any homogeneous material.</w:t>
            </w:r>
          </w:p>
        </w:tc>
        <w:tc>
          <w:tcPr>
            <w:tcW w:w="2432" w:type="dxa"/>
            <w:gridSpan w:val="2"/>
          </w:tcPr>
          <w:p w14:paraId="01C373C0" w14:textId="788DEC25" w:rsidR="005167FD" w:rsidRPr="0038743A" w:rsidRDefault="00414C52" w:rsidP="00D22252">
            <w:pPr>
              <w:pStyle w:val="sBullet"/>
              <w:numPr>
                <w:ilvl w:val="0"/>
                <w:numId w:val="0"/>
              </w:numPr>
              <w:spacing w:before="120" w:after="120"/>
              <w:contextualSpacing w:val="0"/>
            </w:pPr>
            <w:r>
              <w:t>General Industry C</w:t>
            </w:r>
            <w:r w:rsidR="001F4F0D" w:rsidRPr="001F4F0D">
              <w:t>oncern</w:t>
            </w:r>
          </w:p>
        </w:tc>
      </w:tr>
      <w:tr w:rsidR="005167FD" w:rsidRPr="00BA64FA" w14:paraId="01C373C9" w14:textId="77777777" w:rsidTr="006F364B">
        <w:trPr>
          <w:gridBefore w:val="1"/>
          <w:wBefore w:w="9" w:type="dxa"/>
          <w:cantSplit/>
        </w:trPr>
        <w:tc>
          <w:tcPr>
            <w:tcW w:w="2137" w:type="dxa"/>
          </w:tcPr>
          <w:p w14:paraId="01C373C2" w14:textId="77777777" w:rsidR="005167FD" w:rsidRPr="00BA64FA" w:rsidRDefault="005167FD" w:rsidP="00D22252">
            <w:pPr>
              <w:keepNext/>
              <w:keepLines/>
              <w:spacing w:before="120" w:after="120"/>
              <w:rPr>
                <w:color w:val="000000" w:themeColor="text1"/>
                <w:sz w:val="16"/>
                <w:szCs w:val="16"/>
              </w:rPr>
            </w:pPr>
            <w:r w:rsidRPr="00BA64FA">
              <w:rPr>
                <w:color w:val="000000" w:themeColor="text1"/>
                <w:sz w:val="16"/>
                <w:szCs w:val="16"/>
              </w:rPr>
              <w:t>Radioactive Substances</w:t>
            </w:r>
          </w:p>
        </w:tc>
        <w:tc>
          <w:tcPr>
            <w:tcW w:w="1350" w:type="dxa"/>
          </w:tcPr>
          <w:p w14:paraId="01C373C3" w14:textId="77777777" w:rsidR="005167FD" w:rsidRPr="00BA64FA" w:rsidRDefault="005167FD" w:rsidP="00D22252">
            <w:pPr>
              <w:keepNext/>
              <w:keepLines/>
              <w:spacing w:before="120" w:after="120"/>
              <w:jc w:val="center"/>
              <w:rPr>
                <w:color w:val="000000" w:themeColor="text1"/>
                <w:sz w:val="16"/>
                <w:szCs w:val="16"/>
              </w:rPr>
            </w:pPr>
            <w:r w:rsidRPr="00BA64FA">
              <w:rPr>
                <w:color w:val="000000" w:themeColor="text1"/>
                <w:sz w:val="16"/>
                <w:szCs w:val="16"/>
              </w:rPr>
              <w:t>See references</w:t>
            </w:r>
          </w:p>
        </w:tc>
        <w:tc>
          <w:tcPr>
            <w:tcW w:w="3621" w:type="dxa"/>
          </w:tcPr>
          <w:p w14:paraId="01C373C4" w14:textId="77777777" w:rsidR="005167FD" w:rsidRPr="00BA64FA" w:rsidRDefault="005167FD" w:rsidP="00D22252">
            <w:pPr>
              <w:pStyle w:val="sBullet"/>
              <w:numPr>
                <w:ilvl w:val="0"/>
                <w:numId w:val="0"/>
              </w:numPr>
              <w:spacing w:before="120" w:after="120"/>
              <w:contextualSpacing w:val="0"/>
            </w:pPr>
            <w:r w:rsidRPr="00BA64FA">
              <w:t xml:space="preserve">Radioactive substances must not be present in parts, components, materials or products beyond those impurity amounts that may naturally exist. If present, exposure limits not to exceed 1 </w:t>
            </w:r>
            <w:r w:rsidRPr="00BA64FA">
              <w:sym w:font="Symbol" w:char="F06D"/>
            </w:r>
            <w:proofErr w:type="spellStart"/>
            <w:r w:rsidRPr="00BA64FA">
              <w:t>Sv</w:t>
            </w:r>
            <w:proofErr w:type="spellEnd"/>
            <w:r w:rsidRPr="00BA64FA">
              <w:t xml:space="preserve">/h at </w:t>
            </w:r>
            <w:proofErr w:type="gramStart"/>
            <w:r w:rsidRPr="00BA64FA">
              <w:t>a distance of 0.1</w:t>
            </w:r>
            <w:proofErr w:type="gramEnd"/>
            <w:r w:rsidRPr="00BA64FA">
              <w:t xml:space="preserve"> meters.</w:t>
            </w:r>
          </w:p>
          <w:p w14:paraId="01C373C5" w14:textId="77777777" w:rsidR="005167FD" w:rsidRPr="00BA64FA" w:rsidRDefault="005167FD" w:rsidP="00D22252">
            <w:pPr>
              <w:pStyle w:val="sBullet"/>
              <w:numPr>
                <w:ilvl w:val="0"/>
                <w:numId w:val="0"/>
              </w:numPr>
              <w:spacing w:before="120" w:after="120"/>
              <w:contextualSpacing w:val="0"/>
            </w:pPr>
            <w:r w:rsidRPr="00BA64FA">
              <w:t>Default reporting threshold of 0.1% (1000 ppm) by weight in any homogeneous material.</w:t>
            </w:r>
          </w:p>
        </w:tc>
        <w:tc>
          <w:tcPr>
            <w:tcW w:w="2432" w:type="dxa"/>
            <w:gridSpan w:val="2"/>
          </w:tcPr>
          <w:p w14:paraId="01C373C6" w14:textId="77777777" w:rsidR="005167FD" w:rsidRPr="00BA64FA" w:rsidRDefault="005167FD" w:rsidP="00D22252">
            <w:pPr>
              <w:pStyle w:val="sBullet"/>
              <w:numPr>
                <w:ilvl w:val="0"/>
                <w:numId w:val="0"/>
              </w:numPr>
              <w:spacing w:before="120" w:after="120"/>
              <w:contextualSpacing w:val="0"/>
            </w:pPr>
            <w:r w:rsidRPr="00BA64FA">
              <w:t>EU – Directive 96/29/EURATOM and its amendments</w:t>
            </w:r>
          </w:p>
          <w:p w14:paraId="01C373C7" w14:textId="77777777" w:rsidR="005167FD" w:rsidRPr="00BA64FA" w:rsidRDefault="005167FD" w:rsidP="00D22252">
            <w:pPr>
              <w:pStyle w:val="sBullet"/>
              <w:numPr>
                <w:ilvl w:val="0"/>
                <w:numId w:val="0"/>
              </w:numPr>
              <w:spacing w:before="120" w:after="120"/>
              <w:contextualSpacing w:val="0"/>
            </w:pPr>
            <w:r w:rsidRPr="00BA64FA">
              <w:t>USA- Nuclear Regulatory Commission Title 10 CFR Part 20</w:t>
            </w:r>
          </w:p>
          <w:p w14:paraId="01C373C8" w14:textId="77777777" w:rsidR="005167FD" w:rsidRPr="0038743A" w:rsidRDefault="005167FD" w:rsidP="00D22252">
            <w:pPr>
              <w:pStyle w:val="sBullet"/>
              <w:numPr>
                <w:ilvl w:val="0"/>
                <w:numId w:val="0"/>
              </w:numPr>
              <w:spacing w:before="120" w:after="120"/>
              <w:contextualSpacing w:val="0"/>
            </w:pPr>
            <w:r w:rsidRPr="00BA64FA">
              <w:t>Japan – Laws for the Regulation of Nuclear Source Material, Nuclear Fuel Material, and Reactors, 1986</w:t>
            </w:r>
          </w:p>
        </w:tc>
      </w:tr>
      <w:tr w:rsidR="00B05134" w:rsidRPr="00BA64FA" w14:paraId="0A78F712" w14:textId="77777777" w:rsidTr="006F364B">
        <w:tblPrEx>
          <w:jc w:val="center"/>
          <w:tblInd w:w="0" w:type="dxa"/>
          <w:tblCellMar>
            <w:left w:w="115" w:type="dxa"/>
            <w:right w:w="115" w:type="dxa"/>
          </w:tblCellMar>
        </w:tblPrEx>
        <w:trPr>
          <w:gridAfter w:val="1"/>
          <w:wAfter w:w="7" w:type="dxa"/>
          <w:cantSplit/>
          <w:jc w:val="center"/>
        </w:trPr>
        <w:tc>
          <w:tcPr>
            <w:tcW w:w="2146" w:type="dxa"/>
            <w:gridSpan w:val="2"/>
          </w:tcPr>
          <w:p w14:paraId="24184672" w14:textId="7FF9747E" w:rsidR="00B05134" w:rsidRPr="00BA64FA" w:rsidRDefault="00B05134" w:rsidP="00D22252">
            <w:pPr>
              <w:keepNext/>
              <w:keepLines/>
              <w:spacing w:before="120" w:after="120"/>
              <w:rPr>
                <w:color w:val="000000" w:themeColor="text1"/>
                <w:sz w:val="16"/>
                <w:szCs w:val="16"/>
              </w:rPr>
            </w:pPr>
            <w:r>
              <w:rPr>
                <w:color w:val="000000" w:themeColor="text1"/>
                <w:sz w:val="16"/>
                <w:szCs w:val="16"/>
              </w:rPr>
              <w:lastRenderedPageBreak/>
              <w:t>Restriction of Hazardous Substances (RoHS)</w:t>
            </w:r>
          </w:p>
        </w:tc>
        <w:tc>
          <w:tcPr>
            <w:tcW w:w="1350" w:type="dxa"/>
          </w:tcPr>
          <w:p w14:paraId="525357C8" w14:textId="072808C6" w:rsidR="00B05134" w:rsidRPr="00BA64FA" w:rsidRDefault="00F22520" w:rsidP="00D22252">
            <w:pPr>
              <w:keepNext/>
              <w:keepLines/>
              <w:spacing w:before="120" w:after="120"/>
              <w:jc w:val="center"/>
              <w:rPr>
                <w:color w:val="000000" w:themeColor="text1"/>
                <w:sz w:val="16"/>
                <w:szCs w:val="16"/>
              </w:rPr>
            </w:pPr>
            <w:r>
              <w:rPr>
                <w:color w:val="000000" w:themeColor="text1"/>
                <w:sz w:val="16"/>
                <w:szCs w:val="16"/>
              </w:rPr>
              <w:t>See reference</w:t>
            </w:r>
          </w:p>
        </w:tc>
        <w:tc>
          <w:tcPr>
            <w:tcW w:w="3621" w:type="dxa"/>
          </w:tcPr>
          <w:p w14:paraId="509FD1CB" w14:textId="2E87FC20" w:rsidR="00B05134" w:rsidRDefault="00B05134" w:rsidP="00D22252">
            <w:pPr>
              <w:pStyle w:val="sBullet"/>
              <w:numPr>
                <w:ilvl w:val="0"/>
                <w:numId w:val="0"/>
              </w:numPr>
              <w:spacing w:before="120" w:after="120"/>
              <w:contextualSpacing w:val="0"/>
            </w:pPr>
            <w:r>
              <w:t>Maximu</w:t>
            </w:r>
            <w:r w:rsidR="00F22520">
              <w:t>m</w:t>
            </w:r>
            <w:r>
              <w:t xml:space="preserve"> value allowed of </w:t>
            </w:r>
            <w:r w:rsidRPr="004035FD">
              <w:rPr>
                <w:b/>
              </w:rPr>
              <w:t>restricted</w:t>
            </w:r>
            <w:r>
              <w:t xml:space="preserve"> substance (by weight in homogeneous material)</w:t>
            </w:r>
            <w:r w:rsidR="006C392D">
              <w:t>:</w:t>
            </w:r>
          </w:p>
          <w:p w14:paraId="2E04EAB8" w14:textId="4D547119" w:rsidR="00B05134" w:rsidRDefault="00B05134" w:rsidP="00A714D1">
            <w:pPr>
              <w:pStyle w:val="sBullet"/>
              <w:numPr>
                <w:ilvl w:val="0"/>
                <w:numId w:val="45"/>
              </w:numPr>
              <w:contextualSpacing w:val="0"/>
            </w:pPr>
            <w:r>
              <w:t>Lead – 0.1% (1000 ppm)</w:t>
            </w:r>
          </w:p>
          <w:p w14:paraId="3B839BBB" w14:textId="45A2E533" w:rsidR="00B05134" w:rsidRDefault="00B05134" w:rsidP="00A714D1">
            <w:pPr>
              <w:pStyle w:val="sBullet"/>
              <w:numPr>
                <w:ilvl w:val="0"/>
                <w:numId w:val="45"/>
              </w:numPr>
              <w:contextualSpacing w:val="0"/>
            </w:pPr>
            <w:r>
              <w:t xml:space="preserve">Mercury – </w:t>
            </w:r>
            <w:r w:rsidRPr="00B05134">
              <w:t>0.1% (1000 ppm)</w:t>
            </w:r>
          </w:p>
          <w:p w14:paraId="476E185D" w14:textId="38633233" w:rsidR="00B05134" w:rsidRDefault="00B05134" w:rsidP="00A714D1">
            <w:pPr>
              <w:pStyle w:val="sBullet"/>
              <w:numPr>
                <w:ilvl w:val="0"/>
                <w:numId w:val="45"/>
              </w:numPr>
              <w:contextualSpacing w:val="0"/>
            </w:pPr>
            <w:r>
              <w:t xml:space="preserve">Cadmium – </w:t>
            </w:r>
            <w:r w:rsidRPr="00B05134">
              <w:t>0.</w:t>
            </w:r>
            <w:r>
              <w:t>01% (10</w:t>
            </w:r>
            <w:r w:rsidRPr="00B05134">
              <w:t>0 ppm)</w:t>
            </w:r>
          </w:p>
          <w:p w14:paraId="0EABC680" w14:textId="52DC83F9" w:rsidR="00B05134" w:rsidRDefault="00B05134" w:rsidP="00A714D1">
            <w:pPr>
              <w:pStyle w:val="sBullet"/>
              <w:numPr>
                <w:ilvl w:val="0"/>
                <w:numId w:val="45"/>
              </w:numPr>
              <w:contextualSpacing w:val="0"/>
            </w:pPr>
            <w:r>
              <w:t xml:space="preserve">Hexavalent chromium – </w:t>
            </w:r>
            <w:r w:rsidRPr="00B05134">
              <w:t>0.1% (1000 ppm)</w:t>
            </w:r>
          </w:p>
          <w:p w14:paraId="08AF038B" w14:textId="2FF04EE0" w:rsidR="00B05134" w:rsidRDefault="00B05134" w:rsidP="00A714D1">
            <w:pPr>
              <w:pStyle w:val="sBullet"/>
              <w:numPr>
                <w:ilvl w:val="0"/>
                <w:numId w:val="45"/>
              </w:numPr>
              <w:contextualSpacing w:val="0"/>
            </w:pPr>
            <w:r>
              <w:t xml:space="preserve">Polybrominated biphenyls (PBB) – </w:t>
            </w:r>
            <w:r w:rsidRPr="00B05134">
              <w:t>0.1% (1000 ppm)</w:t>
            </w:r>
          </w:p>
          <w:p w14:paraId="10DD842F" w14:textId="37A9F008" w:rsidR="00C87C0F" w:rsidRPr="00710C5E" w:rsidRDefault="00B05134" w:rsidP="007A28A0">
            <w:pPr>
              <w:pStyle w:val="sBullet"/>
              <w:numPr>
                <w:ilvl w:val="0"/>
                <w:numId w:val="45"/>
              </w:numPr>
              <w:contextualSpacing w:val="0"/>
            </w:pPr>
            <w:r>
              <w:t xml:space="preserve">Polybrominated diphenyl ethers (PBDE) and </w:t>
            </w:r>
            <w:proofErr w:type="spellStart"/>
            <w:r w:rsidRPr="00710C5E">
              <w:t>Deca</w:t>
            </w:r>
            <w:proofErr w:type="spellEnd"/>
            <w:r w:rsidRPr="00710C5E">
              <w:t>-BDE – 0.1% (1000 ppm)</w:t>
            </w:r>
          </w:p>
          <w:p w14:paraId="0C05622C" w14:textId="005B6CBC" w:rsidR="00C87C0F" w:rsidRPr="00C87C0F" w:rsidRDefault="00C87C0F" w:rsidP="00A714D1">
            <w:pPr>
              <w:pStyle w:val="sBullet"/>
              <w:numPr>
                <w:ilvl w:val="0"/>
                <w:numId w:val="44"/>
              </w:numPr>
              <w:spacing w:after="240"/>
            </w:pPr>
            <w:r w:rsidRPr="00710C5E">
              <w:t>Bis(2-ethylhexyl) phthalate (DEHP) – 0.1% (1000 ppm)</w:t>
            </w:r>
          </w:p>
          <w:p w14:paraId="66A45148" w14:textId="545FB5D7" w:rsidR="00C87C0F" w:rsidRPr="00C87C0F" w:rsidRDefault="00C87C0F" w:rsidP="00A714D1">
            <w:pPr>
              <w:pStyle w:val="sBullet"/>
              <w:numPr>
                <w:ilvl w:val="0"/>
                <w:numId w:val="44"/>
              </w:numPr>
              <w:spacing w:before="240"/>
            </w:pPr>
            <w:r w:rsidRPr="00C87C0F">
              <w:t>Benzyl butyl phthalate (BBP) – 0.1% (1000 ppm)</w:t>
            </w:r>
          </w:p>
          <w:p w14:paraId="48CF175D" w14:textId="4B85EB31" w:rsidR="00C87C0F" w:rsidRPr="00C87C0F" w:rsidRDefault="00C87C0F" w:rsidP="00A714D1">
            <w:pPr>
              <w:pStyle w:val="sBullet"/>
              <w:numPr>
                <w:ilvl w:val="0"/>
                <w:numId w:val="44"/>
              </w:numPr>
            </w:pPr>
            <w:r w:rsidRPr="00C87C0F">
              <w:t>Dibutyl phthalate (DBP) – 0.1% (1000 ppm)</w:t>
            </w:r>
          </w:p>
          <w:p w14:paraId="413BAAF4" w14:textId="76CFD62A" w:rsidR="00C87C0F" w:rsidRPr="00C87C0F" w:rsidRDefault="00C87C0F" w:rsidP="00A714D1">
            <w:pPr>
              <w:pStyle w:val="sBullet"/>
              <w:numPr>
                <w:ilvl w:val="0"/>
                <w:numId w:val="44"/>
              </w:numPr>
            </w:pPr>
            <w:proofErr w:type="spellStart"/>
            <w:r w:rsidRPr="00C87C0F">
              <w:t>Diisobutyl</w:t>
            </w:r>
            <w:proofErr w:type="spellEnd"/>
            <w:r w:rsidRPr="00C87C0F">
              <w:t xml:space="preserve"> phthalate (DIBP) – 0.1% (1000 ppm)</w:t>
            </w:r>
          </w:p>
          <w:p w14:paraId="1948B946" w14:textId="709C67C3" w:rsidR="00B05134" w:rsidRDefault="00B05134" w:rsidP="00D22252">
            <w:pPr>
              <w:pStyle w:val="sBullet"/>
              <w:numPr>
                <w:ilvl w:val="0"/>
                <w:numId w:val="0"/>
              </w:numPr>
              <w:spacing w:before="120" w:after="120"/>
              <w:contextualSpacing w:val="0"/>
            </w:pPr>
            <w:r w:rsidRPr="00C87C0F">
              <w:t>Notes:</w:t>
            </w:r>
          </w:p>
          <w:p w14:paraId="2349EED9" w14:textId="0B37DCBA" w:rsidR="005012E8" w:rsidRDefault="005012E8" w:rsidP="007A28A0">
            <w:pPr>
              <w:pStyle w:val="sBullet"/>
              <w:numPr>
                <w:ilvl w:val="0"/>
                <w:numId w:val="50"/>
              </w:numPr>
              <w:spacing w:before="120" w:after="120"/>
            </w:pPr>
            <w:r>
              <w:t>Applies to all parts and material</w:t>
            </w:r>
            <w:r w:rsidR="00B64BB7">
              <w:t xml:space="preserve"> </w:t>
            </w:r>
            <w:r>
              <w:t>provided to X-Rite as they are likely to be associated with elect</w:t>
            </w:r>
            <w:r w:rsidR="00B64BB7">
              <w:t>r</w:t>
            </w:r>
            <w:r w:rsidR="00B325FE">
              <w:t xml:space="preserve">ical and electronic equipment; </w:t>
            </w:r>
            <w:r w:rsidR="00B64BB7">
              <w:t>except</w:t>
            </w:r>
            <w:r w:rsidR="00B325FE">
              <w:t>ion</w:t>
            </w:r>
            <w:r w:rsidR="00B64BB7">
              <w:t xml:space="preserve"> – </w:t>
            </w:r>
            <w:r w:rsidR="00B325FE">
              <w:t>use</w:t>
            </w:r>
            <w:r w:rsidR="00B64BB7" w:rsidRPr="00B64BB7">
              <w:t xml:space="preserve"> specific restrictions regarding Heavy Metals in Batteries and Heavy Metals in Packaging </w:t>
            </w:r>
            <w:r w:rsidR="00B64BB7">
              <w:t xml:space="preserve">as </w:t>
            </w:r>
            <w:r w:rsidR="00790540">
              <w:t>listed in this table for those items.</w:t>
            </w:r>
          </w:p>
          <w:p w14:paraId="6715CC6D" w14:textId="02F3773A" w:rsidR="00B05134" w:rsidRPr="00B05134" w:rsidRDefault="00B05134" w:rsidP="007A28A0">
            <w:pPr>
              <w:pStyle w:val="sBullet"/>
              <w:numPr>
                <w:ilvl w:val="0"/>
                <w:numId w:val="50"/>
              </w:numPr>
              <w:spacing w:before="120" w:after="120"/>
            </w:pPr>
            <w:r w:rsidRPr="00B05134">
              <w:t>See directive for exact restriction criteria including exemptions and applications</w:t>
            </w:r>
            <w:r w:rsidR="00853251">
              <w:t>.</w:t>
            </w:r>
          </w:p>
          <w:p w14:paraId="3332F9EF" w14:textId="291E90E0" w:rsidR="00B05134" w:rsidRDefault="00B05134" w:rsidP="007A28A0">
            <w:pPr>
              <w:pStyle w:val="sBullet"/>
              <w:numPr>
                <w:ilvl w:val="0"/>
                <w:numId w:val="50"/>
              </w:numPr>
              <w:spacing w:before="120" w:after="120"/>
            </w:pPr>
            <w:r w:rsidRPr="00B05134">
              <w:t xml:space="preserve">Any of the RoHS application exemptions described in Annex III </w:t>
            </w:r>
            <w:r w:rsidR="00A35480">
              <w:t xml:space="preserve">and IV </w:t>
            </w:r>
            <w:r w:rsidRPr="00B05134">
              <w:t>of the EU directive that are used to justify deviation from the above restrictions shall be clearly listed in the substance reporting information provided to X-Rite as this information is required for other requirements such as China RoHS.</w:t>
            </w:r>
          </w:p>
          <w:p w14:paraId="5F9CEB31" w14:textId="0D851854" w:rsidR="00393025" w:rsidRDefault="00393025" w:rsidP="00393025">
            <w:pPr>
              <w:pStyle w:val="sBullet"/>
              <w:numPr>
                <w:ilvl w:val="0"/>
                <w:numId w:val="50"/>
              </w:numPr>
              <w:contextualSpacing w:val="0"/>
            </w:pPr>
            <w:r>
              <w:t xml:space="preserve">The restriction of the four phthalates does not apply </w:t>
            </w:r>
            <w:r w:rsidRPr="00710C5E">
              <w:t xml:space="preserve">until July 22, 2021 for medical and </w:t>
            </w:r>
            <w:r>
              <w:t xml:space="preserve">industrial </w:t>
            </w:r>
            <w:r w:rsidRPr="00710C5E">
              <w:t>monitoring and control equipment</w:t>
            </w:r>
            <w:r>
              <w:t>.</w:t>
            </w:r>
          </w:p>
          <w:p w14:paraId="625B81B9" w14:textId="3CF8C0B0" w:rsidR="00F22520" w:rsidRPr="00BA64FA" w:rsidRDefault="00F22520" w:rsidP="00F22520">
            <w:pPr>
              <w:pStyle w:val="sBullet"/>
              <w:numPr>
                <w:ilvl w:val="0"/>
                <w:numId w:val="0"/>
              </w:numPr>
              <w:spacing w:before="120" w:after="120"/>
              <w:ind w:left="360"/>
            </w:pPr>
          </w:p>
        </w:tc>
        <w:tc>
          <w:tcPr>
            <w:tcW w:w="2425" w:type="dxa"/>
          </w:tcPr>
          <w:p w14:paraId="6B8C8FE3" w14:textId="68C6E0E2" w:rsidR="009A3F08" w:rsidRPr="00BA64FA" w:rsidRDefault="00B05134" w:rsidP="000F2329">
            <w:pPr>
              <w:pStyle w:val="sBullet"/>
              <w:numPr>
                <w:ilvl w:val="0"/>
                <w:numId w:val="0"/>
              </w:numPr>
              <w:spacing w:before="120"/>
              <w:contextualSpacing w:val="0"/>
            </w:pPr>
            <w:r w:rsidRPr="00B05134">
              <w:t xml:space="preserve">EU </w:t>
            </w:r>
            <w:r>
              <w:t xml:space="preserve">– </w:t>
            </w:r>
            <w:r w:rsidRPr="00B05134">
              <w:t xml:space="preserve">Directive </w:t>
            </w:r>
            <w:r w:rsidR="000F2329">
              <w:t xml:space="preserve">(EU) 2015/863 </w:t>
            </w:r>
            <w:r>
              <w:t>and its amendments</w:t>
            </w:r>
          </w:p>
        </w:tc>
      </w:tr>
      <w:tr w:rsidR="005167FD" w:rsidRPr="00BA64FA" w14:paraId="01C373D1" w14:textId="77777777" w:rsidTr="006F364B">
        <w:tblPrEx>
          <w:jc w:val="center"/>
          <w:tblInd w:w="0" w:type="dxa"/>
          <w:tblCellMar>
            <w:left w:w="115" w:type="dxa"/>
            <w:right w:w="115" w:type="dxa"/>
          </w:tblCellMar>
        </w:tblPrEx>
        <w:trPr>
          <w:gridAfter w:val="1"/>
          <w:wAfter w:w="7" w:type="dxa"/>
          <w:cantSplit/>
          <w:jc w:val="center"/>
        </w:trPr>
        <w:tc>
          <w:tcPr>
            <w:tcW w:w="2146" w:type="dxa"/>
            <w:gridSpan w:val="2"/>
          </w:tcPr>
          <w:p w14:paraId="01C373CA" w14:textId="291A2A89" w:rsidR="005167FD" w:rsidRDefault="005167FD" w:rsidP="00D22252">
            <w:pPr>
              <w:keepNext/>
              <w:keepLines/>
              <w:spacing w:before="120" w:after="120"/>
              <w:rPr>
                <w:color w:val="000000" w:themeColor="text1"/>
                <w:sz w:val="16"/>
                <w:szCs w:val="16"/>
              </w:rPr>
            </w:pPr>
            <w:r w:rsidRPr="00BA64FA">
              <w:rPr>
                <w:color w:val="000000" w:themeColor="text1"/>
                <w:sz w:val="16"/>
                <w:szCs w:val="16"/>
              </w:rPr>
              <w:t>Short Chain Chlorinated Paraffins (SCCP)</w:t>
            </w:r>
            <w:r>
              <w:rPr>
                <w:color w:val="000000" w:themeColor="text1"/>
                <w:sz w:val="16"/>
                <w:szCs w:val="16"/>
              </w:rPr>
              <w:t xml:space="preserve"> </w:t>
            </w:r>
          </w:p>
          <w:p w14:paraId="01C373CB" w14:textId="77777777" w:rsidR="005167FD" w:rsidRPr="00BA64FA" w:rsidRDefault="005167FD" w:rsidP="00D22252">
            <w:pPr>
              <w:keepNext/>
              <w:keepLines/>
              <w:spacing w:before="120" w:after="120"/>
              <w:rPr>
                <w:color w:val="000000" w:themeColor="text1"/>
                <w:sz w:val="16"/>
                <w:szCs w:val="16"/>
              </w:rPr>
            </w:pPr>
            <w:r>
              <w:rPr>
                <w:color w:val="000000" w:themeColor="text1"/>
                <w:sz w:val="16"/>
                <w:szCs w:val="16"/>
              </w:rPr>
              <w:t>C</w:t>
            </w:r>
            <w:r w:rsidRPr="0098409F">
              <w:rPr>
                <w:color w:val="000000" w:themeColor="text1"/>
                <w:sz w:val="16"/>
                <w:szCs w:val="16"/>
                <w:vertAlign w:val="subscript"/>
              </w:rPr>
              <w:t>10</w:t>
            </w:r>
            <w:r>
              <w:rPr>
                <w:color w:val="000000" w:themeColor="text1"/>
                <w:sz w:val="16"/>
                <w:szCs w:val="16"/>
              </w:rPr>
              <w:t>-C</w:t>
            </w:r>
            <w:r w:rsidRPr="0098409F">
              <w:rPr>
                <w:color w:val="000000" w:themeColor="text1"/>
                <w:sz w:val="16"/>
                <w:szCs w:val="16"/>
                <w:vertAlign w:val="subscript"/>
              </w:rPr>
              <w:t>13</w:t>
            </w:r>
          </w:p>
        </w:tc>
        <w:tc>
          <w:tcPr>
            <w:tcW w:w="1350" w:type="dxa"/>
          </w:tcPr>
          <w:p w14:paraId="01C373CC" w14:textId="77777777" w:rsidR="005167FD" w:rsidRPr="00BA64FA" w:rsidRDefault="005167FD" w:rsidP="00D22252">
            <w:pPr>
              <w:keepNext/>
              <w:keepLines/>
              <w:spacing w:before="120" w:after="120"/>
              <w:jc w:val="center"/>
              <w:rPr>
                <w:color w:val="000000" w:themeColor="text1"/>
                <w:sz w:val="16"/>
                <w:szCs w:val="16"/>
              </w:rPr>
            </w:pPr>
            <w:r w:rsidRPr="00BA64FA">
              <w:rPr>
                <w:color w:val="000000" w:themeColor="text1"/>
                <w:sz w:val="16"/>
                <w:szCs w:val="16"/>
              </w:rPr>
              <w:t>85535-84-8 and others</w:t>
            </w:r>
          </w:p>
        </w:tc>
        <w:tc>
          <w:tcPr>
            <w:tcW w:w="3621" w:type="dxa"/>
          </w:tcPr>
          <w:p w14:paraId="2F088C70" w14:textId="27751BE7" w:rsidR="00F94A8F" w:rsidRDefault="00F94A8F" w:rsidP="00D22252">
            <w:pPr>
              <w:pStyle w:val="sBullet"/>
              <w:numPr>
                <w:ilvl w:val="0"/>
                <w:numId w:val="0"/>
              </w:numPr>
              <w:spacing w:before="120" w:after="120"/>
              <w:contextualSpacing w:val="0"/>
            </w:pPr>
            <w:r>
              <w:t>T</w:t>
            </w:r>
            <w:r w:rsidRPr="00F94A8F">
              <w:t>he production, placing on the market and use of substances or preparations containing SCCPs in concentr</w:t>
            </w:r>
            <w:r w:rsidR="00CA453A">
              <w:t>ations lower than 1</w:t>
            </w:r>
            <w:r>
              <w:t xml:space="preserve">% </w:t>
            </w:r>
            <w:r w:rsidR="00CA453A">
              <w:t xml:space="preserve">(10,000 ppm) </w:t>
            </w:r>
            <w:r>
              <w:t xml:space="preserve">by weight, </w:t>
            </w:r>
            <w:r w:rsidRPr="00F94A8F">
              <w:t>or articles containing SCCPs</w:t>
            </w:r>
            <w:r>
              <w:t xml:space="preserve"> in concentrations lower than 0.</w:t>
            </w:r>
            <w:r w:rsidR="00CA453A">
              <w:t>15</w:t>
            </w:r>
            <w:r>
              <w:t xml:space="preserve">% </w:t>
            </w:r>
            <w:r w:rsidR="00CA453A">
              <w:t xml:space="preserve">(1500 ppm) </w:t>
            </w:r>
            <w:r>
              <w:t>by weight, is</w:t>
            </w:r>
            <w:r w:rsidRPr="00F94A8F">
              <w:t xml:space="preserve"> allowed. </w:t>
            </w:r>
          </w:p>
          <w:p w14:paraId="01C373CD" w14:textId="76007C47" w:rsidR="005167FD" w:rsidRPr="00BA64FA" w:rsidRDefault="005167FD" w:rsidP="00D22252">
            <w:pPr>
              <w:pStyle w:val="sBullet"/>
              <w:numPr>
                <w:ilvl w:val="0"/>
                <w:numId w:val="0"/>
              </w:numPr>
              <w:spacing w:before="120" w:after="120"/>
              <w:contextualSpacing w:val="0"/>
            </w:pPr>
            <w:r>
              <w:t>CAS No. 85535-84-8 is also a REACH SVHC reportable.</w:t>
            </w:r>
          </w:p>
        </w:tc>
        <w:tc>
          <w:tcPr>
            <w:tcW w:w="2425" w:type="dxa"/>
          </w:tcPr>
          <w:p w14:paraId="6ABCB990" w14:textId="77777777" w:rsidR="00765FB6" w:rsidRDefault="00765FB6" w:rsidP="00D22252">
            <w:pPr>
              <w:pStyle w:val="sBullet"/>
              <w:numPr>
                <w:ilvl w:val="0"/>
                <w:numId w:val="0"/>
              </w:numPr>
              <w:spacing w:before="120" w:after="120"/>
              <w:contextualSpacing w:val="0"/>
            </w:pPr>
            <w:r w:rsidRPr="00765FB6">
              <w:t>EU – Regulation EC 850/2004 as amended by Regulation EU 2015/2030</w:t>
            </w:r>
          </w:p>
          <w:p w14:paraId="79625E3B" w14:textId="421D021E" w:rsidR="00765FB6" w:rsidRPr="00BA64FA" w:rsidRDefault="005167FD" w:rsidP="00D22252">
            <w:pPr>
              <w:pStyle w:val="sBullet"/>
              <w:numPr>
                <w:ilvl w:val="0"/>
                <w:numId w:val="0"/>
              </w:numPr>
              <w:spacing w:before="120" w:after="120"/>
              <w:contextualSpacing w:val="0"/>
            </w:pPr>
            <w:r w:rsidRPr="00BA64FA">
              <w:t xml:space="preserve">EU – Regulation EC 1907/2006 </w:t>
            </w:r>
            <w:r w:rsidR="00380FE2" w:rsidRPr="00380FE2">
              <w:t xml:space="preserve">Annex 17 </w:t>
            </w:r>
            <w:r w:rsidRPr="00BA64FA">
              <w:t>and its amendments</w:t>
            </w:r>
          </w:p>
          <w:p w14:paraId="01C373CF" w14:textId="77777777" w:rsidR="005167FD" w:rsidRPr="00BA64FA" w:rsidRDefault="005167FD" w:rsidP="00D22252">
            <w:pPr>
              <w:pStyle w:val="sBullet"/>
              <w:numPr>
                <w:ilvl w:val="0"/>
                <w:numId w:val="0"/>
              </w:numPr>
              <w:spacing w:before="120" w:after="120"/>
              <w:contextualSpacing w:val="0"/>
            </w:pPr>
            <w:r w:rsidRPr="00BA64FA">
              <w:t>USA – 49 CFR 172.101</w:t>
            </w:r>
            <w:r>
              <w:t>, TSCA Action Plan</w:t>
            </w:r>
          </w:p>
          <w:p w14:paraId="01C373D0" w14:textId="77777777" w:rsidR="005167FD" w:rsidRPr="0038743A" w:rsidRDefault="005167FD" w:rsidP="00D22252">
            <w:pPr>
              <w:pStyle w:val="sBullet"/>
              <w:numPr>
                <w:ilvl w:val="0"/>
                <w:numId w:val="0"/>
              </w:numPr>
              <w:spacing w:before="120" w:after="120"/>
              <w:contextualSpacing w:val="0"/>
            </w:pPr>
            <w:r w:rsidRPr="00BA64FA">
              <w:t>NE Atlantic Region – OSPAR</w:t>
            </w:r>
          </w:p>
        </w:tc>
      </w:tr>
      <w:tr w:rsidR="000D218D" w:rsidRPr="00BA64FA" w14:paraId="114384B3" w14:textId="77777777" w:rsidTr="006F364B">
        <w:tblPrEx>
          <w:jc w:val="center"/>
          <w:tblInd w:w="0" w:type="dxa"/>
          <w:tblCellMar>
            <w:left w:w="115" w:type="dxa"/>
            <w:right w:w="115" w:type="dxa"/>
          </w:tblCellMar>
        </w:tblPrEx>
        <w:trPr>
          <w:gridAfter w:val="1"/>
          <w:wAfter w:w="7" w:type="dxa"/>
          <w:cantSplit/>
          <w:jc w:val="center"/>
        </w:trPr>
        <w:tc>
          <w:tcPr>
            <w:tcW w:w="2146" w:type="dxa"/>
            <w:gridSpan w:val="2"/>
          </w:tcPr>
          <w:p w14:paraId="69E9772B" w14:textId="301BF41D" w:rsidR="000D218D" w:rsidRDefault="00544F8E" w:rsidP="00D22252">
            <w:pPr>
              <w:keepNext/>
              <w:keepLines/>
              <w:spacing w:before="120" w:after="120"/>
              <w:rPr>
                <w:color w:val="000000" w:themeColor="text1"/>
                <w:sz w:val="16"/>
                <w:szCs w:val="16"/>
              </w:rPr>
            </w:pPr>
            <w:r>
              <w:rPr>
                <w:color w:val="000000" w:themeColor="text1"/>
                <w:sz w:val="16"/>
                <w:szCs w:val="16"/>
              </w:rPr>
              <w:lastRenderedPageBreak/>
              <w:t>Substance</w:t>
            </w:r>
            <w:r w:rsidR="000D218D">
              <w:rPr>
                <w:color w:val="000000" w:themeColor="text1"/>
                <w:sz w:val="16"/>
                <w:szCs w:val="16"/>
              </w:rPr>
              <w:t xml:space="preserve"> of Very High Concern (SVHC)</w:t>
            </w:r>
          </w:p>
        </w:tc>
        <w:tc>
          <w:tcPr>
            <w:tcW w:w="1350" w:type="dxa"/>
          </w:tcPr>
          <w:p w14:paraId="3C8DA15C" w14:textId="6AA0338B" w:rsidR="000D218D" w:rsidRDefault="00F22520" w:rsidP="00D22252">
            <w:pPr>
              <w:keepNext/>
              <w:keepLines/>
              <w:spacing w:before="120" w:after="120"/>
              <w:jc w:val="center"/>
              <w:rPr>
                <w:color w:val="000000" w:themeColor="text1"/>
                <w:sz w:val="16"/>
                <w:szCs w:val="16"/>
              </w:rPr>
            </w:pPr>
            <w:r>
              <w:rPr>
                <w:color w:val="000000" w:themeColor="text1"/>
                <w:sz w:val="16"/>
                <w:szCs w:val="16"/>
              </w:rPr>
              <w:t>See reference</w:t>
            </w:r>
          </w:p>
        </w:tc>
        <w:tc>
          <w:tcPr>
            <w:tcW w:w="3621" w:type="dxa"/>
          </w:tcPr>
          <w:p w14:paraId="10E4902F" w14:textId="6FF2C40C" w:rsidR="000D218D" w:rsidRPr="000D218D" w:rsidRDefault="005757CC" w:rsidP="000D218D">
            <w:pPr>
              <w:rPr>
                <w:color w:val="000000" w:themeColor="text1"/>
                <w:sz w:val="16"/>
                <w:szCs w:val="16"/>
              </w:rPr>
            </w:pPr>
            <w:r>
              <w:rPr>
                <w:sz w:val="16"/>
                <w:szCs w:val="16"/>
              </w:rPr>
              <w:t>R</w:t>
            </w:r>
            <w:r w:rsidR="000D218D" w:rsidRPr="000D218D">
              <w:rPr>
                <w:sz w:val="16"/>
                <w:szCs w:val="16"/>
              </w:rPr>
              <w:t xml:space="preserve">equires </w:t>
            </w:r>
            <w:r w:rsidR="000D218D" w:rsidRPr="004035FD">
              <w:rPr>
                <w:b/>
                <w:sz w:val="16"/>
                <w:szCs w:val="16"/>
              </w:rPr>
              <w:t>reporting</w:t>
            </w:r>
            <w:r w:rsidR="000D218D" w:rsidRPr="000D218D">
              <w:rPr>
                <w:sz w:val="16"/>
                <w:szCs w:val="16"/>
              </w:rPr>
              <w:t xml:space="preserve"> the presence and safe use</w:t>
            </w:r>
            <w:r w:rsidR="000D218D" w:rsidRPr="000D218D">
              <w:rPr>
                <w:color w:val="000000" w:themeColor="text1"/>
                <w:sz w:val="16"/>
                <w:szCs w:val="16"/>
              </w:rPr>
              <w:t xml:space="preserve"> of </w:t>
            </w:r>
            <w:r w:rsidR="00544F8E">
              <w:rPr>
                <w:color w:val="000000" w:themeColor="text1"/>
                <w:sz w:val="16"/>
                <w:szCs w:val="16"/>
              </w:rPr>
              <w:t xml:space="preserve">any </w:t>
            </w:r>
            <w:r w:rsidR="002A4EB1">
              <w:rPr>
                <w:color w:val="000000" w:themeColor="text1"/>
                <w:sz w:val="16"/>
                <w:szCs w:val="16"/>
              </w:rPr>
              <w:t xml:space="preserve">REACH </w:t>
            </w:r>
            <w:r w:rsidR="00544F8E">
              <w:rPr>
                <w:color w:val="000000" w:themeColor="text1"/>
                <w:sz w:val="16"/>
                <w:szCs w:val="16"/>
              </w:rPr>
              <w:t>Candidate Substance</w:t>
            </w:r>
            <w:r w:rsidR="000D218D" w:rsidRPr="000D218D">
              <w:rPr>
                <w:color w:val="000000" w:themeColor="text1"/>
                <w:sz w:val="16"/>
                <w:szCs w:val="16"/>
              </w:rPr>
              <w:t xml:space="preserve"> of Very High Concern (SVHC) that exceed specified thresholds for any article (e.g., part, component, product, packaging) placed on the market. This includes reporting on any articles used in making higher complexity articles. To help fulfill this reporting requirement, </w:t>
            </w:r>
            <w:r w:rsidR="00E05A33">
              <w:rPr>
                <w:color w:val="000000" w:themeColor="text1"/>
                <w:sz w:val="16"/>
                <w:szCs w:val="16"/>
              </w:rPr>
              <w:t>provider</w:t>
            </w:r>
            <w:r w:rsidR="000D218D" w:rsidRPr="000D218D">
              <w:rPr>
                <w:color w:val="000000" w:themeColor="text1"/>
                <w:sz w:val="16"/>
                <w:szCs w:val="16"/>
              </w:rPr>
              <w:t>s of parts and materials used in X-Rite products or packaging m</w:t>
            </w:r>
            <w:r w:rsidR="000D218D" w:rsidRPr="000D218D">
              <w:rPr>
                <w:sz w:val="16"/>
                <w:szCs w:val="16"/>
              </w:rPr>
              <w:t xml:space="preserve">ust disclose the use of Candidate SVHCs that exceed the stated </w:t>
            </w:r>
            <w:r w:rsidR="000D218D" w:rsidRPr="000D218D">
              <w:rPr>
                <w:color w:val="000000" w:themeColor="text1"/>
                <w:sz w:val="16"/>
                <w:szCs w:val="16"/>
              </w:rPr>
              <w:t>threshold in the item(s) they are providing. Information regarding the safe use of such Candidate SVHC may also be required by X-Rite to help fulfill this reporting requirement.</w:t>
            </w:r>
          </w:p>
          <w:p w14:paraId="2B7C0C27" w14:textId="77777777" w:rsidR="000D218D" w:rsidRPr="000D218D" w:rsidRDefault="000D218D" w:rsidP="000D218D">
            <w:pPr>
              <w:rPr>
                <w:color w:val="000000" w:themeColor="text1"/>
                <w:sz w:val="16"/>
                <w:szCs w:val="16"/>
              </w:rPr>
            </w:pPr>
            <w:r w:rsidRPr="000D218D">
              <w:rPr>
                <w:color w:val="000000" w:themeColor="text1"/>
                <w:sz w:val="16"/>
                <w:szCs w:val="16"/>
              </w:rPr>
              <w:t>Note:</w:t>
            </w:r>
          </w:p>
          <w:p w14:paraId="50EB0D08" w14:textId="77777777" w:rsidR="000D218D" w:rsidRPr="000D218D" w:rsidRDefault="000D218D" w:rsidP="003C0364">
            <w:pPr>
              <w:pStyle w:val="ListParagraph"/>
              <w:numPr>
                <w:ilvl w:val="0"/>
                <w:numId w:val="38"/>
              </w:numPr>
              <w:ind w:left="242" w:hanging="242"/>
              <w:rPr>
                <w:color w:val="000000" w:themeColor="text1"/>
                <w:sz w:val="16"/>
                <w:szCs w:val="16"/>
              </w:rPr>
            </w:pPr>
            <w:r w:rsidRPr="000D218D">
              <w:rPr>
                <w:color w:val="000000" w:themeColor="text1"/>
                <w:sz w:val="16"/>
                <w:szCs w:val="16"/>
              </w:rPr>
              <w:t>The reporting threshold for each of the listed SVHCs is if &gt; 0.1 % weight/weight of the part or material being provided.</w:t>
            </w:r>
          </w:p>
          <w:p w14:paraId="645FD614" w14:textId="5BDE77DC" w:rsidR="000D218D" w:rsidRPr="000D218D" w:rsidRDefault="000D218D" w:rsidP="003C0364">
            <w:pPr>
              <w:pStyle w:val="ListParagraph"/>
              <w:numPr>
                <w:ilvl w:val="0"/>
                <w:numId w:val="38"/>
              </w:numPr>
              <w:ind w:left="242" w:hanging="242"/>
              <w:rPr>
                <w:color w:val="000000" w:themeColor="text1"/>
                <w:sz w:val="16"/>
                <w:szCs w:val="16"/>
              </w:rPr>
            </w:pPr>
            <w:r w:rsidRPr="000D218D">
              <w:rPr>
                <w:color w:val="000000" w:themeColor="text1"/>
                <w:sz w:val="16"/>
                <w:szCs w:val="16"/>
              </w:rPr>
              <w:t>Some Candidate SVHCs have an EU sunset date assigned. This</w:t>
            </w:r>
            <w:r w:rsidRPr="003B5B16">
              <w:rPr>
                <w:color w:val="000000" w:themeColor="text1"/>
                <w:sz w:val="16"/>
                <w:szCs w:val="16"/>
              </w:rPr>
              <w:t xml:space="preserve"> is the date the substance becomes restricted for use in the EU except as authorized (REACH Annex XIV). Sourcing or use of these substances in the EU should be discontinued accordingly. Parts and materials that contain SVHCs with sunset dates and </w:t>
            </w:r>
            <w:r w:rsidR="001F292D">
              <w:rPr>
                <w:color w:val="000000" w:themeColor="text1"/>
                <w:sz w:val="16"/>
                <w:szCs w:val="16"/>
              </w:rPr>
              <w:t xml:space="preserve">that </w:t>
            </w:r>
            <w:r w:rsidRPr="003B5B16">
              <w:rPr>
                <w:color w:val="000000" w:themeColor="text1"/>
                <w:sz w:val="16"/>
                <w:szCs w:val="16"/>
              </w:rPr>
              <w:t>are provided for articles imported into the EU should also be evaluated for use of the SVHCs due to potential future restrictions t</w:t>
            </w:r>
            <w:r w:rsidRPr="000D218D">
              <w:rPr>
                <w:color w:val="000000" w:themeColor="text1"/>
                <w:sz w:val="16"/>
                <w:szCs w:val="16"/>
              </w:rPr>
              <w:t>hat would ban their import.</w:t>
            </w:r>
          </w:p>
          <w:p w14:paraId="2074201D" w14:textId="2578FA6C" w:rsidR="0099051F" w:rsidRPr="0099051F" w:rsidRDefault="00CB5EFF" w:rsidP="0099051F">
            <w:pPr>
              <w:pStyle w:val="ListParagraph"/>
              <w:numPr>
                <w:ilvl w:val="0"/>
                <w:numId w:val="38"/>
              </w:numPr>
              <w:spacing w:after="120"/>
              <w:ind w:left="245" w:hanging="245"/>
              <w:rPr>
                <w:color w:val="000000" w:themeColor="text1"/>
                <w:sz w:val="16"/>
                <w:szCs w:val="16"/>
              </w:rPr>
            </w:pPr>
            <w:r>
              <w:rPr>
                <w:color w:val="000000" w:themeColor="text1"/>
                <w:sz w:val="16"/>
                <w:szCs w:val="16"/>
              </w:rPr>
              <w:t>The REACH SVHC list is normally</w:t>
            </w:r>
            <w:r w:rsidR="000D218D" w:rsidRPr="000D218D">
              <w:rPr>
                <w:color w:val="000000" w:themeColor="text1"/>
                <w:sz w:val="16"/>
                <w:szCs w:val="16"/>
              </w:rPr>
              <w:t xml:space="preserve"> updated once every six months (in December and June) </w:t>
            </w:r>
            <w:r w:rsidR="00110917">
              <w:rPr>
                <w:color w:val="000000" w:themeColor="text1"/>
                <w:sz w:val="16"/>
                <w:szCs w:val="16"/>
              </w:rPr>
              <w:t xml:space="preserve">by the European Chemicals Agency (ECHA) </w:t>
            </w:r>
            <w:r w:rsidR="000D218D" w:rsidRPr="000D218D">
              <w:rPr>
                <w:color w:val="000000" w:themeColor="text1"/>
                <w:sz w:val="16"/>
                <w:szCs w:val="16"/>
              </w:rPr>
              <w:t xml:space="preserve">and should be checked </w:t>
            </w:r>
            <w:r w:rsidR="00E75441">
              <w:rPr>
                <w:color w:val="000000" w:themeColor="text1"/>
                <w:sz w:val="16"/>
                <w:szCs w:val="16"/>
              </w:rPr>
              <w:t xml:space="preserve">accordingly </w:t>
            </w:r>
            <w:r w:rsidR="000D218D" w:rsidRPr="000D218D">
              <w:rPr>
                <w:color w:val="000000" w:themeColor="text1"/>
                <w:sz w:val="16"/>
                <w:szCs w:val="16"/>
              </w:rPr>
              <w:t xml:space="preserve">for </w:t>
            </w:r>
            <w:r w:rsidR="00E75441">
              <w:rPr>
                <w:color w:val="000000" w:themeColor="text1"/>
                <w:sz w:val="16"/>
                <w:szCs w:val="16"/>
              </w:rPr>
              <w:t xml:space="preserve">any </w:t>
            </w:r>
            <w:r w:rsidR="000D218D" w:rsidRPr="000D218D">
              <w:rPr>
                <w:color w:val="000000" w:themeColor="text1"/>
                <w:sz w:val="16"/>
                <w:szCs w:val="16"/>
              </w:rPr>
              <w:t>changes</w:t>
            </w:r>
            <w:r w:rsidR="00E75441">
              <w:rPr>
                <w:color w:val="000000" w:themeColor="text1"/>
                <w:sz w:val="16"/>
                <w:szCs w:val="16"/>
              </w:rPr>
              <w:t>.</w:t>
            </w:r>
            <w:r w:rsidR="00F6513E">
              <w:rPr>
                <w:color w:val="000000" w:themeColor="text1"/>
                <w:sz w:val="16"/>
                <w:szCs w:val="16"/>
              </w:rPr>
              <w:t xml:space="preserve"> </w:t>
            </w:r>
            <w:r w:rsidR="000D218D" w:rsidRPr="00F6513E">
              <w:rPr>
                <w:color w:val="000000" w:themeColor="text1"/>
                <w:sz w:val="16"/>
                <w:szCs w:val="16"/>
              </w:rPr>
              <w:t xml:space="preserve">Link to the latest SVHC list: </w:t>
            </w:r>
            <w:hyperlink r:id="rId12" w:history="1">
              <w:r w:rsidR="000D218D" w:rsidRPr="00F6513E">
                <w:rPr>
                  <w:rStyle w:val="Hyperlink"/>
                  <w:sz w:val="16"/>
                  <w:szCs w:val="16"/>
                </w:rPr>
                <w:t>http://echa.europa.eu/web/guest/candidate-list-table</w:t>
              </w:r>
            </w:hyperlink>
            <w:r w:rsidR="0099051F">
              <w:rPr>
                <w:rStyle w:val="Hyperlink"/>
                <w:sz w:val="16"/>
                <w:szCs w:val="16"/>
              </w:rPr>
              <w:t xml:space="preserve"> </w:t>
            </w:r>
          </w:p>
        </w:tc>
        <w:tc>
          <w:tcPr>
            <w:tcW w:w="2425" w:type="dxa"/>
          </w:tcPr>
          <w:p w14:paraId="2200BC46" w14:textId="12C7C98E" w:rsidR="000D218D" w:rsidRDefault="00E05A33" w:rsidP="00D22252">
            <w:pPr>
              <w:pStyle w:val="sBullet"/>
              <w:numPr>
                <w:ilvl w:val="0"/>
                <w:numId w:val="0"/>
              </w:numPr>
              <w:spacing w:before="120" w:after="120"/>
              <w:contextualSpacing w:val="0"/>
            </w:pPr>
            <w:r>
              <w:t>EU – Regulation EC 1907/2006</w:t>
            </w:r>
            <w:r w:rsidR="00380FE2" w:rsidRPr="00380FE2">
              <w:t xml:space="preserve"> </w:t>
            </w:r>
            <w:r w:rsidR="00B05134" w:rsidRPr="00B05134">
              <w:t>and its amendments</w:t>
            </w:r>
          </w:p>
        </w:tc>
      </w:tr>
      <w:tr w:rsidR="005D3ED4" w:rsidRPr="00BA64FA" w14:paraId="664DABBD" w14:textId="77777777" w:rsidTr="006F364B">
        <w:tblPrEx>
          <w:jc w:val="center"/>
          <w:tblInd w:w="0" w:type="dxa"/>
          <w:tblCellMar>
            <w:left w:w="115" w:type="dxa"/>
            <w:right w:w="115" w:type="dxa"/>
          </w:tblCellMar>
        </w:tblPrEx>
        <w:trPr>
          <w:gridAfter w:val="1"/>
          <w:wAfter w:w="7" w:type="dxa"/>
          <w:cantSplit/>
          <w:jc w:val="center"/>
        </w:trPr>
        <w:tc>
          <w:tcPr>
            <w:tcW w:w="2146" w:type="dxa"/>
            <w:gridSpan w:val="2"/>
          </w:tcPr>
          <w:p w14:paraId="2A1DD523" w14:textId="4CC27010" w:rsidR="005D3ED4" w:rsidRPr="00BA64FA" w:rsidRDefault="005D3ED4" w:rsidP="00D22252">
            <w:pPr>
              <w:keepNext/>
              <w:keepLines/>
              <w:spacing w:before="120" w:after="120"/>
              <w:rPr>
                <w:color w:val="000000" w:themeColor="text1"/>
                <w:sz w:val="16"/>
                <w:szCs w:val="16"/>
              </w:rPr>
            </w:pPr>
            <w:r>
              <w:rPr>
                <w:color w:val="000000" w:themeColor="text1"/>
                <w:sz w:val="16"/>
                <w:szCs w:val="16"/>
              </w:rPr>
              <w:t>Textiles</w:t>
            </w:r>
          </w:p>
        </w:tc>
        <w:tc>
          <w:tcPr>
            <w:tcW w:w="1350" w:type="dxa"/>
          </w:tcPr>
          <w:p w14:paraId="55866DDD" w14:textId="54892D22" w:rsidR="005D3ED4" w:rsidRPr="00BA64FA" w:rsidRDefault="005D3ED4" w:rsidP="00D22252">
            <w:pPr>
              <w:keepNext/>
              <w:keepLines/>
              <w:spacing w:before="120" w:after="120"/>
              <w:jc w:val="center"/>
              <w:rPr>
                <w:color w:val="000000" w:themeColor="text1"/>
                <w:sz w:val="16"/>
                <w:szCs w:val="16"/>
              </w:rPr>
            </w:pPr>
            <w:r>
              <w:rPr>
                <w:color w:val="000000" w:themeColor="text1"/>
                <w:sz w:val="16"/>
                <w:szCs w:val="16"/>
              </w:rPr>
              <w:t>See references</w:t>
            </w:r>
          </w:p>
        </w:tc>
        <w:tc>
          <w:tcPr>
            <w:tcW w:w="3621" w:type="dxa"/>
          </w:tcPr>
          <w:p w14:paraId="2131A26F" w14:textId="546A88C5" w:rsidR="005D3ED4" w:rsidRPr="00BA64FA" w:rsidRDefault="005D3ED4" w:rsidP="005D3ED4">
            <w:pPr>
              <w:pStyle w:val="sBullet"/>
              <w:numPr>
                <w:ilvl w:val="0"/>
                <w:numId w:val="0"/>
              </w:numPr>
              <w:spacing w:before="120" w:after="120"/>
              <w:contextualSpacing w:val="0"/>
            </w:pPr>
            <w:r>
              <w:t>Provided textiles are to be named, labelled and otherwise marked in accordance with</w:t>
            </w:r>
            <w:r w:rsidR="00085CAB">
              <w:t xml:space="preserve"> the product’s composition and</w:t>
            </w:r>
            <w:r>
              <w:t xml:space="preserve"> the referenced regulation.</w:t>
            </w:r>
          </w:p>
        </w:tc>
        <w:tc>
          <w:tcPr>
            <w:tcW w:w="2425" w:type="dxa"/>
          </w:tcPr>
          <w:p w14:paraId="08314C6D" w14:textId="2D956411" w:rsidR="005D3ED4" w:rsidRPr="00BA64FA" w:rsidRDefault="005D3ED4" w:rsidP="00D22252">
            <w:pPr>
              <w:pStyle w:val="sBullet"/>
              <w:numPr>
                <w:ilvl w:val="0"/>
                <w:numId w:val="0"/>
              </w:numPr>
              <w:spacing w:before="120" w:after="120"/>
              <w:contextualSpacing w:val="0"/>
            </w:pPr>
            <w:r>
              <w:t>EU – EU 1007/2011 and its amendments</w:t>
            </w:r>
          </w:p>
        </w:tc>
      </w:tr>
      <w:tr w:rsidR="005D3ED4" w:rsidRPr="00BA64FA" w14:paraId="01C373D7" w14:textId="77777777" w:rsidTr="006F364B">
        <w:trPr>
          <w:gridBefore w:val="1"/>
          <w:wBefore w:w="9" w:type="dxa"/>
          <w:cantSplit/>
        </w:trPr>
        <w:tc>
          <w:tcPr>
            <w:tcW w:w="2137" w:type="dxa"/>
          </w:tcPr>
          <w:p w14:paraId="01C373D2" w14:textId="77777777" w:rsidR="005D3ED4" w:rsidRPr="00BA64FA" w:rsidRDefault="005D3ED4" w:rsidP="00D22252">
            <w:pPr>
              <w:keepNext/>
              <w:keepLines/>
              <w:spacing w:before="120" w:after="120"/>
              <w:rPr>
                <w:color w:val="000000" w:themeColor="text1"/>
                <w:sz w:val="16"/>
                <w:szCs w:val="16"/>
              </w:rPr>
            </w:pPr>
            <w:r>
              <w:rPr>
                <w:color w:val="000000" w:themeColor="text1"/>
                <w:sz w:val="16"/>
                <w:szCs w:val="16"/>
              </w:rPr>
              <w:t>Timber (and plant) Materials</w:t>
            </w:r>
          </w:p>
        </w:tc>
        <w:tc>
          <w:tcPr>
            <w:tcW w:w="1350" w:type="dxa"/>
          </w:tcPr>
          <w:p w14:paraId="01C373D3" w14:textId="77777777" w:rsidR="005D3ED4" w:rsidRPr="00BA64FA" w:rsidRDefault="005D3ED4" w:rsidP="00D22252">
            <w:pPr>
              <w:keepNext/>
              <w:keepLines/>
              <w:spacing w:before="120" w:after="120"/>
              <w:jc w:val="center"/>
              <w:rPr>
                <w:color w:val="000000" w:themeColor="text1"/>
                <w:sz w:val="16"/>
                <w:szCs w:val="16"/>
              </w:rPr>
            </w:pPr>
            <w:r>
              <w:rPr>
                <w:color w:val="000000" w:themeColor="text1"/>
                <w:sz w:val="16"/>
                <w:szCs w:val="16"/>
              </w:rPr>
              <w:t>See references</w:t>
            </w:r>
          </w:p>
        </w:tc>
        <w:tc>
          <w:tcPr>
            <w:tcW w:w="3621" w:type="dxa"/>
          </w:tcPr>
          <w:p w14:paraId="01C373D4" w14:textId="77777777" w:rsidR="005D3ED4" w:rsidRPr="00BA64FA" w:rsidRDefault="005D3ED4" w:rsidP="00D22252">
            <w:pPr>
              <w:keepNext/>
              <w:keepLines/>
              <w:spacing w:before="120" w:after="120"/>
              <w:rPr>
                <w:color w:val="000000" w:themeColor="text1"/>
                <w:sz w:val="16"/>
                <w:szCs w:val="16"/>
              </w:rPr>
            </w:pPr>
            <w:r>
              <w:rPr>
                <w:color w:val="000000" w:themeColor="text1"/>
                <w:sz w:val="16"/>
                <w:szCs w:val="16"/>
              </w:rPr>
              <w:t>Timber (and plant) related materials (paper, wood, etc.) must not be from illegal sources. Use of a recognized forest certification scheme is preferred. Use of recycled content (typically 10%-90% as applicable for the item being provided) is preferred.</w:t>
            </w:r>
          </w:p>
        </w:tc>
        <w:tc>
          <w:tcPr>
            <w:tcW w:w="2432" w:type="dxa"/>
            <w:gridSpan w:val="2"/>
          </w:tcPr>
          <w:p w14:paraId="01C373D5" w14:textId="77777777" w:rsidR="005D3ED4" w:rsidRDefault="005D3ED4" w:rsidP="00D22252">
            <w:pPr>
              <w:keepNext/>
              <w:keepLines/>
              <w:spacing w:before="120" w:after="120"/>
              <w:rPr>
                <w:color w:val="000000" w:themeColor="text1"/>
                <w:sz w:val="16"/>
                <w:szCs w:val="16"/>
              </w:rPr>
            </w:pPr>
            <w:r>
              <w:rPr>
                <w:color w:val="000000" w:themeColor="text1"/>
                <w:sz w:val="16"/>
                <w:szCs w:val="16"/>
              </w:rPr>
              <w:t>EU – Regulation EU 995/2010 and its amendments</w:t>
            </w:r>
          </w:p>
          <w:p w14:paraId="01C373D6" w14:textId="77777777" w:rsidR="005D3ED4" w:rsidRPr="00BA64FA" w:rsidRDefault="005D3ED4" w:rsidP="00D22252">
            <w:pPr>
              <w:keepNext/>
              <w:keepLines/>
              <w:spacing w:before="120" w:after="120"/>
              <w:rPr>
                <w:color w:val="000000" w:themeColor="text1"/>
                <w:sz w:val="16"/>
                <w:szCs w:val="16"/>
              </w:rPr>
            </w:pPr>
            <w:r>
              <w:rPr>
                <w:color w:val="000000" w:themeColor="text1"/>
                <w:sz w:val="16"/>
                <w:szCs w:val="16"/>
              </w:rPr>
              <w:t>USA – Lacey Act and its amendments</w:t>
            </w:r>
          </w:p>
        </w:tc>
      </w:tr>
      <w:tr w:rsidR="005D3ED4" w:rsidRPr="00BA64FA" w14:paraId="01C373DC" w14:textId="77777777" w:rsidTr="006F364B">
        <w:trPr>
          <w:gridBefore w:val="1"/>
          <w:wBefore w:w="9" w:type="dxa"/>
          <w:cantSplit/>
        </w:trPr>
        <w:tc>
          <w:tcPr>
            <w:tcW w:w="2137" w:type="dxa"/>
          </w:tcPr>
          <w:p w14:paraId="01C373D8" w14:textId="77777777" w:rsidR="005D3ED4" w:rsidRPr="00BA64FA" w:rsidRDefault="005D3ED4" w:rsidP="00D22252">
            <w:pPr>
              <w:keepNext/>
              <w:keepLines/>
              <w:spacing w:before="120" w:after="120"/>
              <w:rPr>
                <w:color w:val="000000" w:themeColor="text1"/>
                <w:sz w:val="16"/>
                <w:szCs w:val="16"/>
              </w:rPr>
            </w:pPr>
            <w:r w:rsidRPr="00BA64FA">
              <w:rPr>
                <w:color w:val="000000" w:themeColor="text1"/>
                <w:sz w:val="16"/>
                <w:szCs w:val="16"/>
              </w:rPr>
              <w:t>Toluene</w:t>
            </w:r>
          </w:p>
        </w:tc>
        <w:tc>
          <w:tcPr>
            <w:tcW w:w="1350" w:type="dxa"/>
          </w:tcPr>
          <w:p w14:paraId="01C373D9" w14:textId="77777777" w:rsidR="005D3ED4" w:rsidRPr="00BA64FA" w:rsidRDefault="005D3ED4" w:rsidP="00D22252">
            <w:pPr>
              <w:keepNext/>
              <w:keepLines/>
              <w:spacing w:before="120" w:after="120"/>
              <w:jc w:val="center"/>
              <w:rPr>
                <w:color w:val="000000" w:themeColor="text1"/>
                <w:sz w:val="16"/>
                <w:szCs w:val="16"/>
              </w:rPr>
            </w:pPr>
            <w:r w:rsidRPr="00BA64FA">
              <w:rPr>
                <w:color w:val="000000" w:themeColor="text1"/>
                <w:sz w:val="16"/>
                <w:szCs w:val="16"/>
              </w:rPr>
              <w:t>108-88-3</w:t>
            </w:r>
          </w:p>
        </w:tc>
        <w:tc>
          <w:tcPr>
            <w:tcW w:w="3621" w:type="dxa"/>
          </w:tcPr>
          <w:p w14:paraId="01C373DA" w14:textId="15F83523" w:rsidR="005D3ED4" w:rsidRPr="00BA64FA" w:rsidRDefault="005D3ED4" w:rsidP="00D22252">
            <w:pPr>
              <w:keepNext/>
              <w:keepLines/>
              <w:spacing w:before="120" w:after="120"/>
              <w:rPr>
                <w:color w:val="000000" w:themeColor="text1"/>
                <w:sz w:val="16"/>
                <w:szCs w:val="16"/>
              </w:rPr>
            </w:pPr>
            <w:r w:rsidRPr="00BA64FA">
              <w:rPr>
                <w:color w:val="000000" w:themeColor="text1"/>
                <w:sz w:val="16"/>
                <w:szCs w:val="16"/>
              </w:rPr>
              <w:t xml:space="preserve">Not to be used as a substance or constituent of preparations in concentrations equal to or greater than 0.1% (1000 ppm) by mass in adhesives and spray paints intended for supply to the </w:t>
            </w:r>
            <w:proofErr w:type="gramStart"/>
            <w:r w:rsidRPr="00BA64FA">
              <w:rPr>
                <w:color w:val="000000" w:themeColor="text1"/>
                <w:sz w:val="16"/>
                <w:szCs w:val="16"/>
              </w:rPr>
              <w:t>general public</w:t>
            </w:r>
            <w:proofErr w:type="gramEnd"/>
            <w:r w:rsidRPr="00BA64FA">
              <w:rPr>
                <w:color w:val="000000" w:themeColor="text1"/>
                <w:sz w:val="16"/>
                <w:szCs w:val="16"/>
              </w:rPr>
              <w:t>.</w:t>
            </w:r>
          </w:p>
        </w:tc>
        <w:tc>
          <w:tcPr>
            <w:tcW w:w="2432" w:type="dxa"/>
            <w:gridSpan w:val="2"/>
          </w:tcPr>
          <w:p w14:paraId="01C373DB" w14:textId="423F7F2D" w:rsidR="005D3ED4" w:rsidRPr="00BA64FA" w:rsidRDefault="005D3ED4" w:rsidP="00D22252">
            <w:pPr>
              <w:keepNext/>
              <w:keepLines/>
              <w:spacing w:before="120" w:after="120"/>
              <w:rPr>
                <w:color w:val="000000" w:themeColor="text1"/>
                <w:sz w:val="16"/>
                <w:szCs w:val="16"/>
              </w:rPr>
            </w:pPr>
            <w:r w:rsidRPr="00BA64FA">
              <w:rPr>
                <w:color w:val="000000" w:themeColor="text1"/>
                <w:sz w:val="16"/>
                <w:szCs w:val="16"/>
              </w:rPr>
              <w:t xml:space="preserve">EU – Regulation EC 1907/2006 </w:t>
            </w:r>
            <w:r w:rsidR="00380FE2" w:rsidRPr="00380FE2">
              <w:rPr>
                <w:color w:val="000000" w:themeColor="text1"/>
                <w:sz w:val="16"/>
                <w:szCs w:val="16"/>
              </w:rPr>
              <w:t xml:space="preserve">Annex 17 </w:t>
            </w:r>
            <w:r w:rsidRPr="00BA64FA">
              <w:rPr>
                <w:color w:val="000000" w:themeColor="text1"/>
                <w:sz w:val="16"/>
                <w:szCs w:val="16"/>
              </w:rPr>
              <w:t>and its amendments</w:t>
            </w:r>
          </w:p>
        </w:tc>
      </w:tr>
    </w:tbl>
    <w:p w14:paraId="66DB782F" w14:textId="77777777" w:rsidR="00441DA8" w:rsidRDefault="00441DA8" w:rsidP="00A94F83">
      <w:pPr>
        <w:pStyle w:val="sBullet"/>
        <w:numPr>
          <w:ilvl w:val="0"/>
          <w:numId w:val="0"/>
        </w:numPr>
        <w:tabs>
          <w:tab w:val="left" w:pos="2074"/>
          <w:tab w:val="left" w:pos="3163"/>
          <w:tab w:val="left" w:pos="7125"/>
        </w:tabs>
        <w:spacing w:before="120" w:after="120"/>
        <w:ind w:left="18"/>
        <w:contextualSpacing w:val="0"/>
      </w:pPr>
    </w:p>
    <w:p w14:paraId="3CD0CDA1" w14:textId="77777777" w:rsidR="00441DA8" w:rsidRDefault="00441DA8">
      <w:pPr>
        <w:rPr>
          <w:color w:val="000000" w:themeColor="text1"/>
          <w:sz w:val="16"/>
          <w:szCs w:val="16"/>
        </w:rPr>
      </w:pPr>
      <w:r>
        <w:br w:type="page"/>
      </w:r>
    </w:p>
    <w:p w14:paraId="6C19A63E" w14:textId="0C9EA29B" w:rsidR="00441DA8" w:rsidRPr="00BA64FA" w:rsidRDefault="00441DA8" w:rsidP="00A94F83">
      <w:pPr>
        <w:pStyle w:val="sBullet"/>
        <w:numPr>
          <w:ilvl w:val="0"/>
          <w:numId w:val="0"/>
        </w:numPr>
        <w:tabs>
          <w:tab w:val="left" w:pos="2074"/>
          <w:tab w:val="left" w:pos="3163"/>
          <w:tab w:val="left" w:pos="7125"/>
        </w:tabs>
        <w:spacing w:before="120" w:after="120"/>
        <w:ind w:left="18"/>
        <w:contextualSpacing w:val="0"/>
      </w:pPr>
      <w:r>
        <w:lastRenderedPageBreak/>
        <w:tab/>
      </w:r>
      <w:r>
        <w:tab/>
      </w:r>
      <w:r>
        <w:tab/>
      </w:r>
    </w:p>
    <w:tbl>
      <w:tblPr>
        <w:tblStyle w:val="TableGrid"/>
        <w:tblW w:w="9549" w:type="dxa"/>
        <w:tblInd w:w="9" w:type="dxa"/>
        <w:tblLayout w:type="fixed"/>
        <w:tblLook w:val="04E0" w:firstRow="1" w:lastRow="1" w:firstColumn="1" w:lastColumn="0" w:noHBand="0" w:noVBand="1"/>
      </w:tblPr>
      <w:tblGrid>
        <w:gridCol w:w="9"/>
        <w:gridCol w:w="2057"/>
        <w:gridCol w:w="1089"/>
        <w:gridCol w:w="3964"/>
        <w:gridCol w:w="2423"/>
        <w:gridCol w:w="7"/>
      </w:tblGrid>
      <w:tr w:rsidR="005D3ED4" w:rsidRPr="00BA64FA" w14:paraId="01C373E8" w14:textId="77777777" w:rsidTr="00C87C0F">
        <w:trPr>
          <w:gridBefore w:val="1"/>
          <w:wBefore w:w="9" w:type="dxa"/>
          <w:cantSplit/>
        </w:trPr>
        <w:tc>
          <w:tcPr>
            <w:tcW w:w="2057" w:type="dxa"/>
          </w:tcPr>
          <w:p w14:paraId="01C373E4" w14:textId="77777777" w:rsidR="005D3ED4" w:rsidRPr="00BA64FA" w:rsidRDefault="005D3ED4" w:rsidP="00D22252">
            <w:pPr>
              <w:keepNext/>
              <w:keepLines/>
              <w:spacing w:before="120" w:after="120"/>
              <w:rPr>
                <w:color w:val="000000" w:themeColor="text1"/>
                <w:sz w:val="16"/>
                <w:szCs w:val="16"/>
              </w:rPr>
            </w:pPr>
            <w:r>
              <w:rPr>
                <w:color w:val="000000" w:themeColor="text1"/>
                <w:sz w:val="16"/>
                <w:szCs w:val="16"/>
              </w:rPr>
              <w:t>Trichlorobenzene</w:t>
            </w:r>
          </w:p>
        </w:tc>
        <w:tc>
          <w:tcPr>
            <w:tcW w:w="1089" w:type="dxa"/>
          </w:tcPr>
          <w:p w14:paraId="01C373E5" w14:textId="77777777" w:rsidR="005D3ED4" w:rsidRPr="00BA64FA" w:rsidRDefault="005D3ED4" w:rsidP="00D22252">
            <w:pPr>
              <w:keepNext/>
              <w:keepLines/>
              <w:spacing w:before="120" w:after="120"/>
              <w:jc w:val="center"/>
              <w:rPr>
                <w:color w:val="000000" w:themeColor="text1"/>
                <w:sz w:val="16"/>
                <w:szCs w:val="16"/>
              </w:rPr>
            </w:pPr>
            <w:r>
              <w:rPr>
                <w:color w:val="000000" w:themeColor="text1"/>
                <w:sz w:val="16"/>
                <w:szCs w:val="16"/>
              </w:rPr>
              <w:t>120-82-1</w:t>
            </w:r>
          </w:p>
        </w:tc>
        <w:tc>
          <w:tcPr>
            <w:tcW w:w="3964" w:type="dxa"/>
          </w:tcPr>
          <w:p w14:paraId="01C373E6" w14:textId="77777777" w:rsidR="005D3ED4" w:rsidRPr="00BA64FA" w:rsidRDefault="005D3ED4" w:rsidP="00D22252">
            <w:pPr>
              <w:keepNext/>
              <w:keepLines/>
              <w:spacing w:before="120" w:after="120"/>
              <w:rPr>
                <w:color w:val="000000" w:themeColor="text1"/>
                <w:sz w:val="16"/>
                <w:szCs w:val="16"/>
              </w:rPr>
            </w:pPr>
            <w:r>
              <w:rPr>
                <w:color w:val="000000" w:themeColor="text1"/>
                <w:sz w:val="16"/>
                <w:szCs w:val="16"/>
              </w:rPr>
              <w:t xml:space="preserve">Not to be used as a substance or constituent of preparations in </w:t>
            </w:r>
            <w:r w:rsidRPr="00BA64FA">
              <w:rPr>
                <w:color w:val="000000" w:themeColor="text1"/>
                <w:sz w:val="16"/>
                <w:szCs w:val="16"/>
              </w:rPr>
              <w:t>concentrations equal to or greater than 0.1% (1000 ppm) by mass</w:t>
            </w:r>
            <w:r>
              <w:rPr>
                <w:color w:val="000000" w:themeColor="text1"/>
                <w:sz w:val="16"/>
                <w:szCs w:val="16"/>
              </w:rPr>
              <w:t>.</w:t>
            </w:r>
          </w:p>
        </w:tc>
        <w:tc>
          <w:tcPr>
            <w:tcW w:w="2430" w:type="dxa"/>
            <w:gridSpan w:val="2"/>
          </w:tcPr>
          <w:p w14:paraId="01C373E7" w14:textId="63CE3377" w:rsidR="005D3ED4" w:rsidRPr="00BA64FA" w:rsidRDefault="005D3ED4" w:rsidP="00A94F83">
            <w:pPr>
              <w:pStyle w:val="sBullet"/>
              <w:numPr>
                <w:ilvl w:val="0"/>
                <w:numId w:val="0"/>
              </w:numPr>
              <w:spacing w:before="120" w:after="120"/>
              <w:contextualSpacing w:val="0"/>
            </w:pPr>
            <w:r w:rsidRPr="00BA64FA">
              <w:t xml:space="preserve">EU – Regulation 1907/2006 </w:t>
            </w:r>
            <w:r w:rsidR="00380FE2" w:rsidRPr="00380FE2">
              <w:t xml:space="preserve">Annex 17 </w:t>
            </w:r>
            <w:r w:rsidRPr="00BA64FA">
              <w:t>and its amendments</w:t>
            </w:r>
          </w:p>
        </w:tc>
      </w:tr>
      <w:tr w:rsidR="005D3ED4" w:rsidRPr="00BA64FA" w14:paraId="01C373F0" w14:textId="77777777" w:rsidTr="00C87C0F">
        <w:trPr>
          <w:gridBefore w:val="1"/>
          <w:wBefore w:w="9" w:type="dxa"/>
          <w:cantSplit/>
        </w:trPr>
        <w:tc>
          <w:tcPr>
            <w:tcW w:w="2057" w:type="dxa"/>
          </w:tcPr>
          <w:p w14:paraId="01C373E9" w14:textId="77777777" w:rsidR="005D3ED4" w:rsidRPr="00BA64FA" w:rsidRDefault="005D3ED4" w:rsidP="00D22252">
            <w:pPr>
              <w:keepNext/>
              <w:keepLines/>
              <w:spacing w:before="120" w:after="120"/>
              <w:rPr>
                <w:color w:val="000000" w:themeColor="text1"/>
                <w:sz w:val="16"/>
                <w:szCs w:val="16"/>
              </w:rPr>
            </w:pPr>
            <w:r w:rsidRPr="00BA64FA">
              <w:rPr>
                <w:color w:val="000000" w:themeColor="text1"/>
                <w:sz w:val="16"/>
                <w:szCs w:val="16"/>
              </w:rPr>
              <w:t xml:space="preserve">Tris (2,3 </w:t>
            </w:r>
            <w:proofErr w:type="spellStart"/>
            <w:r w:rsidRPr="00BA64FA">
              <w:rPr>
                <w:color w:val="000000" w:themeColor="text1"/>
                <w:sz w:val="16"/>
                <w:szCs w:val="16"/>
              </w:rPr>
              <w:t>dibromopropyl</w:t>
            </w:r>
            <w:proofErr w:type="spellEnd"/>
            <w:r w:rsidRPr="00BA64FA">
              <w:rPr>
                <w:color w:val="000000" w:themeColor="text1"/>
                <w:sz w:val="16"/>
                <w:szCs w:val="16"/>
              </w:rPr>
              <w:t xml:space="preserve">) phosphate, </w:t>
            </w:r>
          </w:p>
          <w:p w14:paraId="01C373EA" w14:textId="77777777" w:rsidR="005D3ED4" w:rsidRPr="00BA64FA" w:rsidRDefault="005D3ED4" w:rsidP="00D22252">
            <w:pPr>
              <w:keepNext/>
              <w:keepLines/>
              <w:spacing w:before="120" w:after="120"/>
              <w:rPr>
                <w:color w:val="000000" w:themeColor="text1"/>
                <w:sz w:val="16"/>
                <w:szCs w:val="16"/>
              </w:rPr>
            </w:pPr>
            <w:r w:rsidRPr="00BA64FA">
              <w:rPr>
                <w:color w:val="000000" w:themeColor="text1"/>
                <w:sz w:val="16"/>
                <w:szCs w:val="16"/>
              </w:rPr>
              <w:t>Tris-(</w:t>
            </w:r>
            <w:proofErr w:type="spellStart"/>
            <w:r w:rsidRPr="00BA64FA">
              <w:rPr>
                <w:color w:val="000000" w:themeColor="text1"/>
                <w:sz w:val="16"/>
                <w:szCs w:val="16"/>
              </w:rPr>
              <w:t>aziridinyl</w:t>
            </w:r>
            <w:proofErr w:type="spellEnd"/>
            <w:r w:rsidRPr="00BA64FA">
              <w:rPr>
                <w:color w:val="000000" w:themeColor="text1"/>
                <w:sz w:val="16"/>
                <w:szCs w:val="16"/>
              </w:rPr>
              <w:t>)-</w:t>
            </w:r>
            <w:proofErr w:type="spellStart"/>
            <w:r w:rsidRPr="00BA64FA">
              <w:rPr>
                <w:color w:val="000000" w:themeColor="text1"/>
                <w:sz w:val="16"/>
                <w:szCs w:val="16"/>
              </w:rPr>
              <w:t>phosphineoxide</w:t>
            </w:r>
            <w:proofErr w:type="spellEnd"/>
          </w:p>
        </w:tc>
        <w:tc>
          <w:tcPr>
            <w:tcW w:w="1089" w:type="dxa"/>
          </w:tcPr>
          <w:p w14:paraId="01C373EB" w14:textId="77777777" w:rsidR="005D3ED4" w:rsidRPr="00BA64FA" w:rsidRDefault="005D3ED4" w:rsidP="00306C2C">
            <w:pPr>
              <w:keepNext/>
              <w:keepLines/>
              <w:spacing w:before="120"/>
              <w:jc w:val="center"/>
              <w:rPr>
                <w:color w:val="000000" w:themeColor="text1"/>
                <w:sz w:val="16"/>
                <w:szCs w:val="16"/>
              </w:rPr>
            </w:pPr>
            <w:r w:rsidRPr="00BA64FA">
              <w:rPr>
                <w:color w:val="000000" w:themeColor="text1"/>
                <w:sz w:val="16"/>
                <w:szCs w:val="16"/>
              </w:rPr>
              <w:t>126-72-7</w:t>
            </w:r>
          </w:p>
          <w:p w14:paraId="16DD2E46" w14:textId="77777777" w:rsidR="00306C2C" w:rsidRDefault="00306C2C" w:rsidP="00306C2C">
            <w:pPr>
              <w:keepNext/>
              <w:keepLines/>
              <w:spacing w:before="120"/>
              <w:rPr>
                <w:color w:val="000000" w:themeColor="text1"/>
                <w:sz w:val="16"/>
                <w:szCs w:val="16"/>
              </w:rPr>
            </w:pPr>
          </w:p>
          <w:p w14:paraId="01C373ED" w14:textId="77777777" w:rsidR="005D3ED4" w:rsidRPr="00BA64FA" w:rsidRDefault="005D3ED4" w:rsidP="00306C2C">
            <w:pPr>
              <w:keepNext/>
              <w:keepLines/>
              <w:spacing w:after="120"/>
              <w:jc w:val="center"/>
              <w:rPr>
                <w:color w:val="000000" w:themeColor="text1"/>
                <w:sz w:val="16"/>
                <w:szCs w:val="16"/>
              </w:rPr>
            </w:pPr>
            <w:r w:rsidRPr="00BA64FA">
              <w:rPr>
                <w:color w:val="000000" w:themeColor="text1"/>
                <w:sz w:val="16"/>
                <w:szCs w:val="16"/>
              </w:rPr>
              <w:t>545-55-1</w:t>
            </w:r>
          </w:p>
        </w:tc>
        <w:tc>
          <w:tcPr>
            <w:tcW w:w="3964" w:type="dxa"/>
          </w:tcPr>
          <w:p w14:paraId="01C373EE" w14:textId="77777777" w:rsidR="005D3ED4" w:rsidRPr="00BA64FA" w:rsidRDefault="005D3ED4" w:rsidP="00D22252">
            <w:pPr>
              <w:keepNext/>
              <w:keepLines/>
              <w:spacing w:before="120" w:after="120"/>
              <w:rPr>
                <w:color w:val="000000" w:themeColor="text1"/>
                <w:sz w:val="16"/>
                <w:szCs w:val="16"/>
              </w:rPr>
            </w:pPr>
            <w:r w:rsidRPr="00BA64FA">
              <w:rPr>
                <w:color w:val="000000" w:themeColor="text1"/>
                <w:sz w:val="16"/>
                <w:szCs w:val="16"/>
              </w:rPr>
              <w:t xml:space="preserve">Not to be used in textile articles intended to </w:t>
            </w:r>
            <w:proofErr w:type="gramStart"/>
            <w:r w:rsidRPr="00BA64FA">
              <w:rPr>
                <w:color w:val="000000" w:themeColor="text1"/>
                <w:sz w:val="16"/>
                <w:szCs w:val="16"/>
              </w:rPr>
              <w:t>come into contact with</w:t>
            </w:r>
            <w:proofErr w:type="gramEnd"/>
            <w:r w:rsidRPr="00BA64FA">
              <w:rPr>
                <w:color w:val="000000" w:themeColor="text1"/>
                <w:sz w:val="16"/>
                <w:szCs w:val="16"/>
              </w:rPr>
              <w:t xml:space="preserve"> skin, e.g. wrist straps and headphones.</w:t>
            </w:r>
          </w:p>
        </w:tc>
        <w:tc>
          <w:tcPr>
            <w:tcW w:w="2430" w:type="dxa"/>
            <w:gridSpan w:val="2"/>
          </w:tcPr>
          <w:p w14:paraId="01C373EF" w14:textId="0EFDD5FA" w:rsidR="005D3ED4" w:rsidRPr="00BA64FA" w:rsidRDefault="005D3ED4" w:rsidP="00D22252">
            <w:pPr>
              <w:pStyle w:val="sBullet"/>
              <w:numPr>
                <w:ilvl w:val="0"/>
                <w:numId w:val="0"/>
              </w:numPr>
              <w:spacing w:before="120" w:after="120"/>
              <w:contextualSpacing w:val="0"/>
            </w:pPr>
            <w:r w:rsidRPr="00BA64FA">
              <w:t xml:space="preserve">EU – Regulation 1907/2006 </w:t>
            </w:r>
            <w:r w:rsidR="00380FE2" w:rsidRPr="00380FE2">
              <w:t xml:space="preserve">Annex 17 </w:t>
            </w:r>
            <w:r w:rsidRPr="00BA64FA">
              <w:t>and its amendments</w:t>
            </w:r>
          </w:p>
        </w:tc>
      </w:tr>
      <w:tr w:rsidR="005D3ED4" w:rsidRPr="0041704D" w14:paraId="01C373F4" w14:textId="77777777" w:rsidTr="00E74070">
        <w:tblPrEx>
          <w:jc w:val="center"/>
          <w:tblInd w:w="0" w:type="dxa"/>
          <w:tblCellMar>
            <w:left w:w="115" w:type="dxa"/>
            <w:right w:w="115" w:type="dxa"/>
          </w:tblCellMar>
        </w:tblPrEx>
        <w:trPr>
          <w:gridAfter w:val="1"/>
          <w:wAfter w:w="7" w:type="dxa"/>
          <w:cantSplit/>
          <w:jc w:val="center"/>
        </w:trPr>
        <w:tc>
          <w:tcPr>
            <w:tcW w:w="9542" w:type="dxa"/>
            <w:gridSpan w:val="5"/>
          </w:tcPr>
          <w:p w14:paraId="01C373F1" w14:textId="0839349D" w:rsidR="005D3ED4" w:rsidRPr="0048782E" w:rsidRDefault="005D3ED4" w:rsidP="00D22252">
            <w:pPr>
              <w:pStyle w:val="ListParagraph"/>
              <w:numPr>
                <w:ilvl w:val="0"/>
                <w:numId w:val="4"/>
              </w:numPr>
              <w:spacing w:before="120" w:after="120"/>
              <w:ind w:left="360" w:hanging="180"/>
              <w:contextualSpacing w:val="0"/>
              <w:rPr>
                <w:color w:val="000000" w:themeColor="text1"/>
                <w:sz w:val="16"/>
                <w:szCs w:val="16"/>
              </w:rPr>
            </w:pPr>
            <w:r w:rsidRPr="0048782E">
              <w:rPr>
                <w:color w:val="000000" w:themeColor="text1"/>
                <w:sz w:val="16"/>
                <w:szCs w:val="16"/>
              </w:rPr>
              <w:t>Refer to</w:t>
            </w:r>
            <w:r w:rsidR="00604A70">
              <w:rPr>
                <w:color w:val="000000" w:themeColor="text1"/>
                <w:sz w:val="16"/>
                <w:szCs w:val="16"/>
              </w:rPr>
              <w:t xml:space="preserve"> key r</w:t>
            </w:r>
            <w:r w:rsidRPr="0048782E">
              <w:rPr>
                <w:color w:val="000000" w:themeColor="text1"/>
                <w:sz w:val="16"/>
                <w:szCs w:val="16"/>
              </w:rPr>
              <w:t>eferences for complete lists of substance names and chemical identification numbers.</w:t>
            </w:r>
          </w:p>
          <w:p w14:paraId="01C373F2" w14:textId="77777777" w:rsidR="005D3ED4" w:rsidRPr="0048782E" w:rsidRDefault="005D3ED4" w:rsidP="00D22252">
            <w:pPr>
              <w:pStyle w:val="ListParagraph"/>
              <w:numPr>
                <w:ilvl w:val="0"/>
                <w:numId w:val="4"/>
              </w:numPr>
              <w:spacing w:before="120" w:after="120"/>
              <w:ind w:left="360" w:hanging="180"/>
              <w:contextualSpacing w:val="0"/>
              <w:rPr>
                <w:color w:val="000000" w:themeColor="text1"/>
                <w:sz w:val="16"/>
                <w:szCs w:val="16"/>
              </w:rPr>
            </w:pPr>
            <w:r w:rsidRPr="0048782E">
              <w:rPr>
                <w:color w:val="000000" w:themeColor="text1"/>
                <w:sz w:val="16"/>
                <w:szCs w:val="16"/>
              </w:rPr>
              <w:t xml:space="preserve">This is only a summary of the basic requirement for this substance. Refer to references for details, exemptions and application. </w:t>
            </w:r>
          </w:p>
          <w:p w14:paraId="01C373F3" w14:textId="77777777" w:rsidR="005D3ED4" w:rsidRPr="001B5B6D" w:rsidRDefault="005D3ED4" w:rsidP="00D22252">
            <w:pPr>
              <w:pStyle w:val="ListParagraph"/>
              <w:numPr>
                <w:ilvl w:val="0"/>
                <w:numId w:val="4"/>
              </w:numPr>
              <w:spacing w:before="120" w:after="120"/>
              <w:ind w:left="360" w:hanging="180"/>
              <w:contextualSpacing w:val="0"/>
              <w:rPr>
                <w:color w:val="000000" w:themeColor="text1"/>
                <w:sz w:val="16"/>
                <w:szCs w:val="16"/>
              </w:rPr>
            </w:pPr>
            <w:r>
              <w:rPr>
                <w:color w:val="000000" w:themeColor="text1"/>
                <w:sz w:val="16"/>
                <w:szCs w:val="16"/>
              </w:rPr>
              <w:t>These are key</w:t>
            </w:r>
            <w:r w:rsidRPr="0048782E">
              <w:rPr>
                <w:color w:val="000000" w:themeColor="text1"/>
                <w:sz w:val="16"/>
                <w:szCs w:val="16"/>
              </w:rPr>
              <w:t xml:space="preserve"> reference sources for the listed substance. Other references may also apply. All references are subject to changes and updates at any time.</w:t>
            </w:r>
          </w:p>
        </w:tc>
      </w:tr>
    </w:tbl>
    <w:p w14:paraId="4334A4E7" w14:textId="77777777" w:rsidR="006F364B" w:rsidRDefault="006F364B" w:rsidP="000D7BE7">
      <w:pPr>
        <w:pStyle w:val="Heading1"/>
        <w:rPr>
          <w:rFonts w:ascii="Arial" w:hAnsi="Arial" w:cs="Arial"/>
        </w:rPr>
      </w:pPr>
      <w:bookmarkStart w:id="2" w:name="_Toc450317808"/>
    </w:p>
    <w:p w14:paraId="03754EEC" w14:textId="77777777" w:rsidR="006F364B" w:rsidRDefault="006F364B">
      <w:pPr>
        <w:rPr>
          <w:rFonts w:eastAsiaTheme="majorEastAsia"/>
          <w:b/>
          <w:bCs/>
          <w:color w:val="365F91" w:themeColor="accent1" w:themeShade="BF"/>
          <w:sz w:val="28"/>
          <w:szCs w:val="28"/>
        </w:rPr>
      </w:pPr>
      <w:r>
        <w:br w:type="page"/>
      </w:r>
    </w:p>
    <w:p w14:paraId="0C4686BE" w14:textId="77777777" w:rsidR="006F364B" w:rsidRDefault="006F364B" w:rsidP="000D7BE7">
      <w:pPr>
        <w:pStyle w:val="Heading1"/>
        <w:rPr>
          <w:rFonts w:ascii="Arial" w:hAnsi="Arial" w:cs="Arial"/>
        </w:rPr>
      </w:pPr>
    </w:p>
    <w:p w14:paraId="01C373F5" w14:textId="60DCA8D9" w:rsidR="00311764" w:rsidRPr="00A71187" w:rsidRDefault="00991B50" w:rsidP="000D7BE7">
      <w:pPr>
        <w:pStyle w:val="Heading1"/>
        <w:rPr>
          <w:rFonts w:ascii="Arial" w:hAnsi="Arial" w:cs="Arial"/>
        </w:rPr>
      </w:pPr>
      <w:r>
        <w:rPr>
          <w:rFonts w:ascii="Arial" w:hAnsi="Arial" w:cs="Arial"/>
        </w:rPr>
        <w:t xml:space="preserve">3. </w:t>
      </w:r>
      <w:r w:rsidR="00311764" w:rsidRPr="00A71187">
        <w:rPr>
          <w:rFonts w:ascii="Arial" w:hAnsi="Arial" w:cs="Arial"/>
        </w:rPr>
        <w:t>Latest Revision Changes</w:t>
      </w:r>
      <w:bookmarkEnd w:id="2"/>
    </w:p>
    <w:p w14:paraId="098BCA9B" w14:textId="3A7D9E29" w:rsidR="007808F0" w:rsidRPr="00EF11F7" w:rsidRDefault="00991B50" w:rsidP="00715B53">
      <w:pPr>
        <w:spacing w:before="240" w:after="0"/>
        <w:rPr>
          <w:color w:val="000000" w:themeColor="text1"/>
        </w:rPr>
      </w:pPr>
      <w:r w:rsidRPr="00EF11F7">
        <w:rPr>
          <w:color w:val="000000" w:themeColor="text1"/>
        </w:rPr>
        <w:t>Previous</w:t>
      </w:r>
      <w:r w:rsidR="00715B53" w:rsidRPr="00EF11F7">
        <w:rPr>
          <w:color w:val="000000" w:themeColor="text1"/>
        </w:rPr>
        <w:t xml:space="preserve"> GPCSE revision </w:t>
      </w:r>
      <w:r w:rsidR="00C53DDC">
        <w:rPr>
          <w:color w:val="000000" w:themeColor="text1"/>
        </w:rPr>
        <w:t>is now A</w:t>
      </w:r>
      <w:r w:rsidR="006F364B">
        <w:rPr>
          <w:color w:val="000000" w:themeColor="text1"/>
        </w:rPr>
        <w:t>C</w:t>
      </w:r>
      <w:r w:rsidR="00C53DDC">
        <w:rPr>
          <w:color w:val="000000" w:themeColor="text1"/>
        </w:rPr>
        <w:t xml:space="preserve">, updated </w:t>
      </w:r>
      <w:r w:rsidR="006F364B">
        <w:rPr>
          <w:color w:val="000000" w:themeColor="text1"/>
        </w:rPr>
        <w:t>April 21, 2021</w:t>
      </w:r>
      <w:r w:rsidRPr="00EF11F7">
        <w:rPr>
          <w:color w:val="000000" w:themeColor="text1"/>
        </w:rPr>
        <w:t>. This new revision has the following major changes:</w:t>
      </w:r>
      <w:bookmarkStart w:id="3" w:name="_Toc297800673"/>
    </w:p>
    <w:p w14:paraId="370FF7A9" w14:textId="04763534" w:rsidR="008D1B66" w:rsidRDefault="008D1B66" w:rsidP="00922DA4">
      <w:pPr>
        <w:pStyle w:val="ListParagraph"/>
        <w:numPr>
          <w:ilvl w:val="0"/>
          <w:numId w:val="42"/>
        </w:numPr>
        <w:rPr>
          <w:color w:val="000000" w:themeColor="text1"/>
          <w:szCs w:val="20"/>
        </w:rPr>
      </w:pPr>
      <w:r w:rsidRPr="00EF11F7">
        <w:rPr>
          <w:color w:val="000000" w:themeColor="text1"/>
          <w:szCs w:val="20"/>
        </w:rPr>
        <w:t xml:space="preserve">ECHA added </w:t>
      </w:r>
      <w:r w:rsidR="00C53DDC">
        <w:rPr>
          <w:color w:val="000000" w:themeColor="text1"/>
          <w:szCs w:val="20"/>
        </w:rPr>
        <w:t xml:space="preserve">additional </w:t>
      </w:r>
      <w:r w:rsidRPr="00EF11F7">
        <w:rPr>
          <w:color w:val="000000" w:themeColor="text1"/>
          <w:szCs w:val="20"/>
        </w:rPr>
        <w:t>item</w:t>
      </w:r>
      <w:r w:rsidR="00544279" w:rsidRPr="00EF11F7">
        <w:rPr>
          <w:color w:val="000000" w:themeColor="text1"/>
          <w:szCs w:val="20"/>
        </w:rPr>
        <w:t>s</w:t>
      </w:r>
      <w:r w:rsidRPr="00EF11F7">
        <w:rPr>
          <w:color w:val="000000" w:themeColor="text1"/>
          <w:szCs w:val="20"/>
        </w:rPr>
        <w:t xml:space="preserve"> (listed below) to the REACH Candidate SVHCs since the previous GPCSE revision. The</w:t>
      </w:r>
      <w:r w:rsidR="00715B53" w:rsidRPr="00EF11F7">
        <w:rPr>
          <w:color w:val="000000" w:themeColor="text1"/>
          <w:szCs w:val="20"/>
        </w:rPr>
        <w:t xml:space="preserve"> total number of SVHC is now </w:t>
      </w:r>
      <w:r w:rsidR="00723970">
        <w:rPr>
          <w:color w:val="000000" w:themeColor="text1"/>
          <w:szCs w:val="20"/>
        </w:rPr>
        <w:t>2</w:t>
      </w:r>
      <w:r w:rsidR="006F364B">
        <w:rPr>
          <w:color w:val="000000" w:themeColor="text1"/>
          <w:szCs w:val="20"/>
        </w:rPr>
        <w:t>11</w:t>
      </w:r>
      <w:r w:rsidRPr="00EF11F7">
        <w:rPr>
          <w:color w:val="000000" w:themeColor="text1"/>
          <w:szCs w:val="20"/>
        </w:rPr>
        <w:t>.</w:t>
      </w: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8"/>
        <w:gridCol w:w="1472"/>
        <w:gridCol w:w="1530"/>
        <w:gridCol w:w="4200"/>
        <w:gridCol w:w="1200"/>
      </w:tblGrid>
      <w:tr w:rsidR="007B7E86" w:rsidRPr="008511FE" w14:paraId="35122584" w14:textId="77777777" w:rsidTr="00D240D0">
        <w:trPr>
          <w:cantSplit/>
          <w:trHeight w:val="665"/>
          <w:tblHead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621FD6D" w14:textId="77777777" w:rsidR="006F364B" w:rsidRPr="008511FE" w:rsidRDefault="006F364B" w:rsidP="00C73DDF">
            <w:pPr>
              <w:spacing w:after="160" w:line="259" w:lineRule="auto"/>
              <w:jc w:val="center"/>
              <w:rPr>
                <w:b/>
                <w:bCs/>
              </w:rPr>
            </w:pPr>
            <w:r w:rsidRPr="008511FE">
              <w:rPr>
                <w:b/>
                <w:bCs/>
              </w:rPr>
              <w:t>Item</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10419EF" w14:textId="77777777" w:rsidR="006F364B" w:rsidRPr="008511FE" w:rsidRDefault="006F364B" w:rsidP="00C73DDF">
            <w:pPr>
              <w:spacing w:after="160" w:line="259" w:lineRule="auto"/>
              <w:jc w:val="center"/>
              <w:rPr>
                <w:b/>
                <w:bCs/>
              </w:rPr>
            </w:pPr>
            <w:r w:rsidRPr="008511FE">
              <w:rPr>
                <w:b/>
                <w:bCs/>
              </w:rPr>
              <w:t>EC No.</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563CFC6" w14:textId="77777777" w:rsidR="006F364B" w:rsidRPr="008511FE" w:rsidRDefault="006F364B" w:rsidP="00C73DDF">
            <w:pPr>
              <w:spacing w:after="160" w:line="259" w:lineRule="auto"/>
              <w:jc w:val="center"/>
            </w:pPr>
            <w:r w:rsidRPr="008511FE">
              <w:rPr>
                <w:b/>
                <w:bCs/>
              </w:rPr>
              <w:t>CAS No.</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126B2A1" w14:textId="77777777" w:rsidR="006F364B" w:rsidRPr="008511FE" w:rsidRDefault="006F364B" w:rsidP="00C73DDF">
            <w:pPr>
              <w:spacing w:after="160" w:line="259" w:lineRule="auto"/>
              <w:jc w:val="center"/>
            </w:pPr>
            <w:r w:rsidRPr="008511FE">
              <w:rPr>
                <w:b/>
                <w:bCs/>
              </w:rPr>
              <w:t>Candidate Substance of Very High Concern (SVHC)</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49F79D8" w14:textId="77777777" w:rsidR="006F364B" w:rsidRPr="008511FE" w:rsidRDefault="006F364B" w:rsidP="00C73DDF">
            <w:pPr>
              <w:spacing w:after="160" w:line="259" w:lineRule="auto"/>
              <w:jc w:val="center"/>
              <w:rPr>
                <w:b/>
                <w:bCs/>
              </w:rPr>
            </w:pPr>
            <w:r w:rsidRPr="008511FE">
              <w:rPr>
                <w:b/>
                <w:bCs/>
              </w:rPr>
              <w:t>Inclusion Date</w:t>
            </w:r>
          </w:p>
        </w:tc>
      </w:tr>
      <w:tr w:rsidR="007B7E86" w:rsidRPr="008511FE" w14:paraId="506AFB79" w14:textId="77777777" w:rsidTr="007B7E86">
        <w:tc>
          <w:tcPr>
            <w:tcW w:w="778"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14361A4A" w14:textId="77777777" w:rsidR="006F364B" w:rsidRPr="008511FE" w:rsidRDefault="006F364B" w:rsidP="00C73DDF">
            <w:pPr>
              <w:spacing w:after="160" w:line="259" w:lineRule="auto"/>
              <w:jc w:val="center"/>
            </w:pPr>
            <w:r w:rsidRPr="008511FE">
              <w:t>202</w:t>
            </w:r>
          </w:p>
        </w:tc>
        <w:tc>
          <w:tcPr>
            <w:tcW w:w="1472"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7A9B3A7B" w14:textId="77777777" w:rsidR="006F364B" w:rsidRPr="008511FE" w:rsidRDefault="006F364B" w:rsidP="00C73DDF">
            <w:pPr>
              <w:spacing w:after="160" w:line="259" w:lineRule="auto"/>
              <w:jc w:val="center"/>
            </w:pPr>
            <w:r w:rsidRPr="008511FE">
              <w:t>71850-09-4</w:t>
            </w:r>
          </w:p>
        </w:tc>
        <w:tc>
          <w:tcPr>
            <w:tcW w:w="1530"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301F8A54" w14:textId="77777777" w:rsidR="006F364B" w:rsidRPr="008511FE" w:rsidRDefault="006F364B" w:rsidP="00C73DDF">
            <w:pPr>
              <w:spacing w:after="160" w:line="259" w:lineRule="auto"/>
              <w:jc w:val="center"/>
            </w:pPr>
            <w:r w:rsidRPr="008511FE">
              <w:t>276-090-2</w:t>
            </w:r>
          </w:p>
        </w:tc>
        <w:tc>
          <w:tcPr>
            <w:tcW w:w="4200"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450A85EB" w14:textId="77777777" w:rsidR="006F364B" w:rsidRPr="008511FE" w:rsidRDefault="006F364B" w:rsidP="00C73DDF">
            <w:pPr>
              <w:spacing w:after="160" w:line="259" w:lineRule="auto"/>
              <w:jc w:val="center"/>
            </w:pPr>
            <w:proofErr w:type="spellStart"/>
            <w:r w:rsidRPr="008511FE">
              <w:t>Diisohexyl</w:t>
            </w:r>
            <w:proofErr w:type="spellEnd"/>
            <w:r w:rsidRPr="008511FE">
              <w:t xml:space="preserve"> phthalate</w:t>
            </w:r>
          </w:p>
        </w:tc>
        <w:tc>
          <w:tcPr>
            <w:tcW w:w="1200"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3FC05433" w14:textId="77777777" w:rsidR="006F364B" w:rsidRPr="008511FE" w:rsidRDefault="006F364B" w:rsidP="00C73DDF">
            <w:pPr>
              <w:spacing w:after="160" w:line="259" w:lineRule="auto"/>
              <w:jc w:val="center"/>
              <w:rPr>
                <w:bCs/>
              </w:rPr>
            </w:pPr>
            <w:r w:rsidRPr="008511FE">
              <w:t>1/16/2020</w:t>
            </w:r>
          </w:p>
        </w:tc>
      </w:tr>
      <w:tr w:rsidR="007B7E86" w:rsidRPr="008511FE" w14:paraId="5F939537" w14:textId="77777777" w:rsidTr="007B7E86">
        <w:tc>
          <w:tcPr>
            <w:tcW w:w="778"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333E2DB8" w14:textId="77777777" w:rsidR="006F364B" w:rsidRPr="008511FE" w:rsidRDefault="006F364B" w:rsidP="00C73DDF">
            <w:pPr>
              <w:spacing w:after="160" w:line="259" w:lineRule="auto"/>
              <w:jc w:val="center"/>
            </w:pPr>
            <w:r w:rsidRPr="008511FE">
              <w:t>203</w:t>
            </w:r>
          </w:p>
        </w:tc>
        <w:tc>
          <w:tcPr>
            <w:tcW w:w="1472"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736CC0BC" w14:textId="77777777" w:rsidR="006F364B" w:rsidRPr="008511FE" w:rsidRDefault="006F364B" w:rsidP="00C73DDF">
            <w:pPr>
              <w:spacing w:after="160" w:line="259" w:lineRule="auto"/>
              <w:jc w:val="center"/>
            </w:pPr>
            <w:r w:rsidRPr="008511FE">
              <w:t>119313-12-1</w:t>
            </w:r>
          </w:p>
        </w:tc>
        <w:tc>
          <w:tcPr>
            <w:tcW w:w="1530"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2E2AE4C8" w14:textId="77777777" w:rsidR="006F364B" w:rsidRPr="008511FE" w:rsidRDefault="006F364B" w:rsidP="00C73DDF">
            <w:pPr>
              <w:spacing w:after="160" w:line="259" w:lineRule="auto"/>
              <w:jc w:val="center"/>
            </w:pPr>
            <w:r w:rsidRPr="008511FE">
              <w:t>404-360-3</w:t>
            </w:r>
          </w:p>
        </w:tc>
        <w:tc>
          <w:tcPr>
            <w:tcW w:w="4200"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3E97A97E" w14:textId="77777777" w:rsidR="006F364B" w:rsidRPr="008511FE" w:rsidRDefault="006F364B" w:rsidP="00C73DDF">
            <w:pPr>
              <w:spacing w:after="160" w:line="259" w:lineRule="auto"/>
              <w:jc w:val="center"/>
            </w:pPr>
            <w:r w:rsidRPr="008511FE">
              <w:t>2-benzyl-2-dimethylamino-4'-morpholinobutyrophenone</w:t>
            </w:r>
          </w:p>
        </w:tc>
        <w:tc>
          <w:tcPr>
            <w:tcW w:w="1200"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5B4E22A2" w14:textId="77777777" w:rsidR="006F364B" w:rsidRPr="008511FE" w:rsidRDefault="006F364B" w:rsidP="00C73DDF">
            <w:pPr>
              <w:spacing w:after="160" w:line="259" w:lineRule="auto"/>
              <w:jc w:val="center"/>
              <w:rPr>
                <w:bCs/>
              </w:rPr>
            </w:pPr>
            <w:r w:rsidRPr="008511FE">
              <w:t>1/16/2020</w:t>
            </w:r>
          </w:p>
        </w:tc>
      </w:tr>
      <w:tr w:rsidR="007B7E86" w:rsidRPr="007B7E86" w14:paraId="51908A35" w14:textId="77777777" w:rsidTr="007B7E86">
        <w:tc>
          <w:tcPr>
            <w:tcW w:w="778"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3BD03C31" w14:textId="77777777" w:rsidR="006F364B" w:rsidRPr="008511FE" w:rsidRDefault="006F364B" w:rsidP="00C73DDF">
            <w:pPr>
              <w:spacing w:after="160" w:line="259" w:lineRule="auto"/>
              <w:jc w:val="center"/>
            </w:pPr>
            <w:r w:rsidRPr="008511FE">
              <w:t>204</w:t>
            </w:r>
          </w:p>
        </w:tc>
        <w:tc>
          <w:tcPr>
            <w:tcW w:w="1472"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3EA1FC24" w14:textId="77777777" w:rsidR="006F364B" w:rsidRPr="008511FE" w:rsidRDefault="006F364B" w:rsidP="00C73DDF">
            <w:pPr>
              <w:spacing w:after="160" w:line="259" w:lineRule="auto"/>
              <w:jc w:val="center"/>
            </w:pPr>
            <w:r w:rsidRPr="008511FE">
              <w:t>71868-10-5</w:t>
            </w:r>
          </w:p>
        </w:tc>
        <w:tc>
          <w:tcPr>
            <w:tcW w:w="1530"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6752D0D6" w14:textId="77777777" w:rsidR="006F364B" w:rsidRPr="008511FE" w:rsidRDefault="006F364B" w:rsidP="00C73DDF">
            <w:pPr>
              <w:spacing w:after="160" w:line="259" w:lineRule="auto"/>
              <w:jc w:val="center"/>
            </w:pPr>
            <w:r w:rsidRPr="008511FE">
              <w:t>400-600-6</w:t>
            </w:r>
          </w:p>
        </w:tc>
        <w:tc>
          <w:tcPr>
            <w:tcW w:w="4200"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6F2280D3" w14:textId="77777777" w:rsidR="006F364B" w:rsidRPr="008511FE" w:rsidRDefault="006F364B" w:rsidP="00C73DDF">
            <w:pPr>
              <w:spacing w:after="160" w:line="259" w:lineRule="auto"/>
              <w:jc w:val="center"/>
            </w:pPr>
            <w:r w:rsidRPr="008511FE">
              <w:t>2-methyl-1-(4-methylthiophenyl)-2-morpholinopropan-1-one</w:t>
            </w:r>
          </w:p>
        </w:tc>
        <w:tc>
          <w:tcPr>
            <w:tcW w:w="1200"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19B50BC0" w14:textId="77777777" w:rsidR="006F364B" w:rsidRPr="008511FE" w:rsidRDefault="006F364B" w:rsidP="00C73DDF">
            <w:pPr>
              <w:spacing w:after="160" w:line="259" w:lineRule="auto"/>
              <w:jc w:val="center"/>
              <w:rPr>
                <w:bCs/>
              </w:rPr>
            </w:pPr>
            <w:r w:rsidRPr="008511FE">
              <w:t>1/16/2020</w:t>
            </w:r>
          </w:p>
        </w:tc>
        <w:bookmarkStart w:id="4" w:name="_GoBack"/>
        <w:bookmarkEnd w:id="4"/>
      </w:tr>
      <w:tr w:rsidR="007B7E86" w:rsidRPr="008511FE" w14:paraId="16340AFB" w14:textId="77777777" w:rsidTr="007B7E86">
        <w:tc>
          <w:tcPr>
            <w:tcW w:w="778"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3112FBB5" w14:textId="77777777" w:rsidR="006F364B" w:rsidRPr="008511FE" w:rsidRDefault="006F364B" w:rsidP="00C73DDF">
            <w:pPr>
              <w:spacing w:after="160" w:line="259" w:lineRule="auto"/>
              <w:jc w:val="center"/>
            </w:pPr>
            <w:r w:rsidRPr="008511FE">
              <w:t>205</w:t>
            </w:r>
          </w:p>
        </w:tc>
        <w:tc>
          <w:tcPr>
            <w:tcW w:w="1472"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404F0A2C" w14:textId="77777777" w:rsidR="006F364B" w:rsidRPr="008511FE" w:rsidRDefault="006F364B" w:rsidP="00C73DDF">
            <w:pPr>
              <w:spacing w:after="160" w:line="259" w:lineRule="auto"/>
              <w:jc w:val="center"/>
            </w:pPr>
            <w:r>
              <w:t>_</w:t>
            </w:r>
          </w:p>
        </w:tc>
        <w:tc>
          <w:tcPr>
            <w:tcW w:w="1530"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33461566" w14:textId="77777777" w:rsidR="006F364B" w:rsidRPr="008511FE" w:rsidRDefault="006F364B" w:rsidP="00C73DDF">
            <w:pPr>
              <w:spacing w:after="160" w:line="259" w:lineRule="auto"/>
              <w:jc w:val="center"/>
            </w:pPr>
            <w:r>
              <w:t>_</w:t>
            </w:r>
          </w:p>
        </w:tc>
        <w:tc>
          <w:tcPr>
            <w:tcW w:w="4200"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22AFB49C" w14:textId="77777777" w:rsidR="006F364B" w:rsidRPr="008511FE" w:rsidRDefault="006F364B" w:rsidP="00C73DDF">
            <w:pPr>
              <w:spacing w:after="160" w:line="259" w:lineRule="auto"/>
              <w:jc w:val="center"/>
            </w:pPr>
            <w:proofErr w:type="spellStart"/>
            <w:r w:rsidRPr="008511FE">
              <w:t>Perfluorobutane</w:t>
            </w:r>
            <w:proofErr w:type="spellEnd"/>
            <w:r w:rsidRPr="008511FE">
              <w:t xml:space="preserve"> sulfonic acid (PFBS) and its salts</w:t>
            </w:r>
          </w:p>
        </w:tc>
        <w:tc>
          <w:tcPr>
            <w:tcW w:w="1200"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49B0943F" w14:textId="77777777" w:rsidR="006F364B" w:rsidRPr="008511FE" w:rsidRDefault="006F364B" w:rsidP="00C73DDF">
            <w:pPr>
              <w:spacing w:after="160" w:line="259" w:lineRule="auto"/>
              <w:jc w:val="center"/>
              <w:rPr>
                <w:bCs/>
              </w:rPr>
            </w:pPr>
            <w:r w:rsidRPr="008511FE">
              <w:t>1/16/2020</w:t>
            </w:r>
          </w:p>
        </w:tc>
      </w:tr>
      <w:tr w:rsidR="007B7E86" w:rsidRPr="008511FE" w14:paraId="777410AF" w14:textId="77777777" w:rsidTr="007B7E86">
        <w:tc>
          <w:tcPr>
            <w:tcW w:w="778"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65960DB5" w14:textId="77777777" w:rsidR="006F364B" w:rsidRPr="008511FE" w:rsidRDefault="006F364B" w:rsidP="00C73DDF">
            <w:pPr>
              <w:spacing w:after="160" w:line="259" w:lineRule="auto"/>
              <w:jc w:val="center"/>
            </w:pPr>
            <w:r w:rsidRPr="008511FE">
              <w:t>206</w:t>
            </w:r>
          </w:p>
        </w:tc>
        <w:tc>
          <w:tcPr>
            <w:tcW w:w="1472"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4898C061" w14:textId="77777777" w:rsidR="006F364B" w:rsidRPr="008511FE" w:rsidRDefault="006F364B" w:rsidP="00C73DDF">
            <w:pPr>
              <w:spacing w:after="160" w:line="259" w:lineRule="auto"/>
              <w:jc w:val="center"/>
            </w:pPr>
            <w:r w:rsidRPr="008511FE">
              <w:t>1072-63-5</w:t>
            </w:r>
          </w:p>
        </w:tc>
        <w:tc>
          <w:tcPr>
            <w:tcW w:w="1530"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27192B19" w14:textId="77777777" w:rsidR="006F364B" w:rsidRPr="008511FE" w:rsidRDefault="006F364B" w:rsidP="00C73DDF">
            <w:pPr>
              <w:spacing w:after="160" w:line="259" w:lineRule="auto"/>
              <w:jc w:val="center"/>
            </w:pPr>
            <w:r w:rsidRPr="008511FE">
              <w:t>214-012-0</w:t>
            </w:r>
          </w:p>
        </w:tc>
        <w:tc>
          <w:tcPr>
            <w:tcW w:w="4200"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0B971A1A" w14:textId="77777777" w:rsidR="006F364B" w:rsidRPr="008511FE" w:rsidRDefault="006F364B" w:rsidP="00C73DDF">
            <w:pPr>
              <w:spacing w:after="160" w:line="259" w:lineRule="auto"/>
              <w:jc w:val="center"/>
            </w:pPr>
            <w:r w:rsidRPr="008511FE">
              <w:t>1-vinylimidazole</w:t>
            </w:r>
          </w:p>
        </w:tc>
        <w:tc>
          <w:tcPr>
            <w:tcW w:w="1200"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3ED11DE1" w14:textId="77777777" w:rsidR="006F364B" w:rsidRPr="008511FE" w:rsidRDefault="006F364B" w:rsidP="00C73DDF">
            <w:pPr>
              <w:spacing w:after="160" w:line="259" w:lineRule="auto"/>
              <w:jc w:val="center"/>
              <w:rPr>
                <w:bCs/>
              </w:rPr>
            </w:pPr>
            <w:r w:rsidRPr="008511FE">
              <w:t>6/25/2020</w:t>
            </w:r>
          </w:p>
        </w:tc>
      </w:tr>
      <w:tr w:rsidR="007B7E86" w:rsidRPr="008511FE" w14:paraId="01347B0D" w14:textId="77777777" w:rsidTr="007B7E86">
        <w:tc>
          <w:tcPr>
            <w:tcW w:w="778"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3AB10282" w14:textId="77777777" w:rsidR="006F364B" w:rsidRPr="008511FE" w:rsidRDefault="006F364B" w:rsidP="00C73DDF">
            <w:pPr>
              <w:spacing w:after="160" w:line="259" w:lineRule="auto"/>
              <w:jc w:val="center"/>
            </w:pPr>
            <w:r w:rsidRPr="008511FE">
              <w:t>207</w:t>
            </w:r>
          </w:p>
        </w:tc>
        <w:tc>
          <w:tcPr>
            <w:tcW w:w="1472"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33BA15A9" w14:textId="77777777" w:rsidR="006F364B" w:rsidRPr="008511FE" w:rsidRDefault="006F364B" w:rsidP="00C73DDF">
            <w:pPr>
              <w:spacing w:after="160" w:line="259" w:lineRule="auto"/>
              <w:jc w:val="center"/>
            </w:pPr>
            <w:r w:rsidRPr="008511FE">
              <w:t>693-98-1</w:t>
            </w:r>
          </w:p>
        </w:tc>
        <w:tc>
          <w:tcPr>
            <w:tcW w:w="1530"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04DDC579" w14:textId="77777777" w:rsidR="006F364B" w:rsidRPr="008511FE" w:rsidRDefault="006F364B" w:rsidP="00C73DDF">
            <w:pPr>
              <w:spacing w:after="160" w:line="259" w:lineRule="auto"/>
              <w:jc w:val="center"/>
            </w:pPr>
            <w:r w:rsidRPr="008511FE">
              <w:t>211-765-7</w:t>
            </w:r>
          </w:p>
        </w:tc>
        <w:tc>
          <w:tcPr>
            <w:tcW w:w="4200"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4AED5499" w14:textId="77777777" w:rsidR="006F364B" w:rsidRPr="008511FE" w:rsidRDefault="006F364B" w:rsidP="00C73DDF">
            <w:pPr>
              <w:spacing w:after="160" w:line="259" w:lineRule="auto"/>
              <w:jc w:val="center"/>
            </w:pPr>
            <w:r w:rsidRPr="008511FE">
              <w:t>2-methylimidazole</w:t>
            </w:r>
          </w:p>
        </w:tc>
        <w:tc>
          <w:tcPr>
            <w:tcW w:w="1200"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0DD360C7" w14:textId="77777777" w:rsidR="006F364B" w:rsidRPr="008511FE" w:rsidRDefault="006F364B" w:rsidP="00C73DDF">
            <w:pPr>
              <w:spacing w:after="160" w:line="259" w:lineRule="auto"/>
              <w:jc w:val="center"/>
              <w:rPr>
                <w:bCs/>
              </w:rPr>
            </w:pPr>
            <w:r w:rsidRPr="008511FE">
              <w:t>6/25/2020</w:t>
            </w:r>
          </w:p>
        </w:tc>
      </w:tr>
      <w:tr w:rsidR="007B7E86" w:rsidRPr="008511FE" w14:paraId="3B9B2360" w14:textId="77777777" w:rsidTr="007B7E86">
        <w:tc>
          <w:tcPr>
            <w:tcW w:w="778"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55616382" w14:textId="77777777" w:rsidR="006F364B" w:rsidRPr="008511FE" w:rsidRDefault="006F364B" w:rsidP="00C73DDF">
            <w:pPr>
              <w:spacing w:after="160" w:line="259" w:lineRule="auto"/>
              <w:jc w:val="center"/>
            </w:pPr>
            <w:r w:rsidRPr="008511FE">
              <w:t>208</w:t>
            </w:r>
          </w:p>
        </w:tc>
        <w:tc>
          <w:tcPr>
            <w:tcW w:w="1472"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14335E81" w14:textId="77777777" w:rsidR="006F364B" w:rsidRPr="008511FE" w:rsidRDefault="006F364B" w:rsidP="00C73DDF">
            <w:pPr>
              <w:spacing w:after="160" w:line="259" w:lineRule="auto"/>
              <w:jc w:val="center"/>
            </w:pPr>
            <w:r w:rsidRPr="008511FE">
              <w:t>94-26-8</w:t>
            </w:r>
          </w:p>
        </w:tc>
        <w:tc>
          <w:tcPr>
            <w:tcW w:w="1530"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11BD2580" w14:textId="77777777" w:rsidR="006F364B" w:rsidRPr="008511FE" w:rsidRDefault="006F364B" w:rsidP="00C73DDF">
            <w:pPr>
              <w:spacing w:after="160" w:line="259" w:lineRule="auto"/>
              <w:jc w:val="center"/>
            </w:pPr>
            <w:r w:rsidRPr="008511FE">
              <w:t>202-318-7</w:t>
            </w:r>
          </w:p>
        </w:tc>
        <w:tc>
          <w:tcPr>
            <w:tcW w:w="4200"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2054608A" w14:textId="77777777" w:rsidR="006F364B" w:rsidRPr="008511FE" w:rsidRDefault="006F364B" w:rsidP="00C73DDF">
            <w:pPr>
              <w:spacing w:after="160" w:line="259" w:lineRule="auto"/>
              <w:jc w:val="center"/>
            </w:pPr>
            <w:r w:rsidRPr="008511FE">
              <w:t>butyl 4-hydroxybenzoate</w:t>
            </w:r>
          </w:p>
        </w:tc>
        <w:tc>
          <w:tcPr>
            <w:tcW w:w="1200"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60085B15" w14:textId="77777777" w:rsidR="006F364B" w:rsidRPr="008511FE" w:rsidRDefault="006F364B" w:rsidP="00C73DDF">
            <w:pPr>
              <w:spacing w:after="160" w:line="259" w:lineRule="auto"/>
              <w:jc w:val="center"/>
              <w:rPr>
                <w:bCs/>
              </w:rPr>
            </w:pPr>
            <w:r w:rsidRPr="008511FE">
              <w:t>6/25/2020</w:t>
            </w:r>
          </w:p>
        </w:tc>
      </w:tr>
      <w:tr w:rsidR="007B7E86" w:rsidRPr="008511FE" w14:paraId="2FF4C6F3" w14:textId="77777777" w:rsidTr="007B7E86">
        <w:tc>
          <w:tcPr>
            <w:tcW w:w="778"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49A8DF2F" w14:textId="77777777" w:rsidR="006F364B" w:rsidRPr="008511FE" w:rsidRDefault="006F364B" w:rsidP="00C73DDF">
            <w:pPr>
              <w:spacing w:after="160" w:line="259" w:lineRule="auto"/>
              <w:jc w:val="center"/>
            </w:pPr>
            <w:r w:rsidRPr="008511FE">
              <w:t>209</w:t>
            </w:r>
          </w:p>
        </w:tc>
        <w:tc>
          <w:tcPr>
            <w:tcW w:w="1472"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6E86E896" w14:textId="77777777" w:rsidR="006F364B" w:rsidRPr="008511FE" w:rsidRDefault="006F364B" w:rsidP="00C73DDF">
            <w:pPr>
              <w:spacing w:after="160" w:line="259" w:lineRule="auto"/>
              <w:jc w:val="center"/>
            </w:pPr>
            <w:r w:rsidRPr="008511FE">
              <w:t>22673-19-4</w:t>
            </w:r>
          </w:p>
        </w:tc>
        <w:tc>
          <w:tcPr>
            <w:tcW w:w="1530"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4895AC84" w14:textId="77777777" w:rsidR="006F364B" w:rsidRPr="008511FE" w:rsidRDefault="006F364B" w:rsidP="00C73DDF">
            <w:pPr>
              <w:spacing w:after="160" w:line="259" w:lineRule="auto"/>
              <w:jc w:val="center"/>
            </w:pPr>
            <w:r w:rsidRPr="008511FE">
              <w:t>245-152-0</w:t>
            </w:r>
          </w:p>
        </w:tc>
        <w:tc>
          <w:tcPr>
            <w:tcW w:w="4200"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31081EB1" w14:textId="77777777" w:rsidR="006F364B" w:rsidRPr="008511FE" w:rsidRDefault="006F364B" w:rsidP="00C73DDF">
            <w:pPr>
              <w:spacing w:after="160" w:line="259" w:lineRule="auto"/>
              <w:jc w:val="center"/>
            </w:pPr>
            <w:proofErr w:type="spellStart"/>
            <w:r w:rsidRPr="008511FE">
              <w:t>Dibutylbis</w:t>
            </w:r>
            <w:proofErr w:type="spellEnd"/>
            <w:r w:rsidRPr="008511FE">
              <w:t>(pentane-2,4-dionato-</w:t>
            </w:r>
            <w:proofErr w:type="gramStart"/>
            <w:r w:rsidRPr="008511FE">
              <w:t>O,O</w:t>
            </w:r>
            <w:proofErr w:type="gramEnd"/>
            <w:r w:rsidRPr="008511FE">
              <w:t>')tin</w:t>
            </w:r>
          </w:p>
        </w:tc>
        <w:tc>
          <w:tcPr>
            <w:tcW w:w="1200"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1F8E44DE" w14:textId="77777777" w:rsidR="006F364B" w:rsidRPr="008511FE" w:rsidRDefault="006F364B" w:rsidP="00C73DDF">
            <w:pPr>
              <w:spacing w:after="160" w:line="259" w:lineRule="auto"/>
              <w:jc w:val="center"/>
              <w:rPr>
                <w:bCs/>
              </w:rPr>
            </w:pPr>
            <w:r w:rsidRPr="008511FE">
              <w:t>6/25/2020</w:t>
            </w:r>
          </w:p>
        </w:tc>
      </w:tr>
      <w:tr w:rsidR="007B7E86" w:rsidRPr="006B0E13" w14:paraId="32368EAB" w14:textId="77777777" w:rsidTr="006B0E13">
        <w:trPr>
          <w:trHeight w:val="20"/>
        </w:trPr>
        <w:tc>
          <w:tcPr>
            <w:tcW w:w="778"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5C812AFF" w14:textId="77777777" w:rsidR="006F364B" w:rsidRPr="006B0E13" w:rsidRDefault="006F364B" w:rsidP="00D240D0">
            <w:pPr>
              <w:spacing w:after="160" w:line="259" w:lineRule="auto"/>
              <w:jc w:val="center"/>
            </w:pPr>
            <w:r w:rsidRPr="006B0E13">
              <w:t>210</w:t>
            </w:r>
          </w:p>
        </w:tc>
        <w:tc>
          <w:tcPr>
            <w:tcW w:w="1472"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625B66DB" w14:textId="77777777" w:rsidR="006F364B" w:rsidRPr="006B0E13" w:rsidRDefault="006F364B" w:rsidP="00D240D0">
            <w:pPr>
              <w:spacing w:after="160" w:line="259" w:lineRule="auto"/>
              <w:jc w:val="center"/>
            </w:pPr>
            <w:r w:rsidRPr="006B0E13">
              <w:t>205-594-7</w:t>
            </w:r>
          </w:p>
        </w:tc>
        <w:tc>
          <w:tcPr>
            <w:tcW w:w="1530"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6785C0D0" w14:textId="77777777" w:rsidR="006F364B" w:rsidRPr="006B0E13" w:rsidRDefault="006F364B" w:rsidP="00D240D0">
            <w:pPr>
              <w:spacing w:after="160" w:line="259" w:lineRule="auto"/>
              <w:jc w:val="center"/>
            </w:pPr>
            <w:r w:rsidRPr="006B0E13">
              <w:t>143-24-8</w:t>
            </w:r>
          </w:p>
        </w:tc>
        <w:tc>
          <w:tcPr>
            <w:tcW w:w="4200"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1142E2ED" w14:textId="77777777" w:rsidR="006F364B" w:rsidRPr="006B0E13" w:rsidRDefault="006F364B" w:rsidP="00D240D0">
            <w:pPr>
              <w:spacing w:after="160" w:line="259" w:lineRule="auto"/>
              <w:jc w:val="center"/>
            </w:pPr>
            <w:r w:rsidRPr="006B0E13">
              <w:t>Bis(2-(2-</w:t>
            </w:r>
            <w:proofErr w:type="gramStart"/>
            <w:r w:rsidRPr="006B0E13">
              <w:t>methoxyethoxy)ethyl</w:t>
            </w:r>
            <w:proofErr w:type="gramEnd"/>
            <w:r w:rsidRPr="006B0E13">
              <w:t>)ether</w:t>
            </w:r>
          </w:p>
        </w:tc>
        <w:tc>
          <w:tcPr>
            <w:tcW w:w="1200"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4E085F23" w14:textId="77777777" w:rsidR="006F364B" w:rsidRPr="006B0E13" w:rsidRDefault="006F364B" w:rsidP="00D240D0">
            <w:pPr>
              <w:spacing w:after="160" w:line="259" w:lineRule="auto"/>
              <w:jc w:val="center"/>
            </w:pPr>
            <w:r w:rsidRPr="006B0E13">
              <w:t>1/19/2021</w:t>
            </w:r>
          </w:p>
        </w:tc>
      </w:tr>
      <w:tr w:rsidR="007B7E86" w:rsidRPr="006B0E13" w14:paraId="3BACCEC0" w14:textId="77777777" w:rsidTr="006B0E13">
        <w:trPr>
          <w:trHeight w:val="20"/>
        </w:trPr>
        <w:tc>
          <w:tcPr>
            <w:tcW w:w="778"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720BFE80" w14:textId="77777777" w:rsidR="006F364B" w:rsidRPr="006B0E13" w:rsidRDefault="006F364B" w:rsidP="00D240D0">
            <w:pPr>
              <w:spacing w:after="160" w:line="259" w:lineRule="auto"/>
              <w:jc w:val="center"/>
            </w:pPr>
            <w:r w:rsidRPr="006B0E13">
              <w:t>211</w:t>
            </w:r>
          </w:p>
        </w:tc>
        <w:tc>
          <w:tcPr>
            <w:tcW w:w="1472"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512F602C" w14:textId="77777777" w:rsidR="006F364B" w:rsidRPr="006B0E13" w:rsidRDefault="006F364B" w:rsidP="00D240D0">
            <w:pPr>
              <w:spacing w:after="160" w:line="259" w:lineRule="auto"/>
              <w:jc w:val="center"/>
            </w:pPr>
            <w:r w:rsidRPr="006B0E13">
              <w:t>_</w:t>
            </w:r>
          </w:p>
        </w:tc>
        <w:tc>
          <w:tcPr>
            <w:tcW w:w="1530"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21895293" w14:textId="77777777" w:rsidR="006F364B" w:rsidRPr="006B0E13" w:rsidRDefault="006F364B" w:rsidP="00D240D0">
            <w:pPr>
              <w:spacing w:after="160" w:line="259" w:lineRule="auto"/>
              <w:jc w:val="center"/>
            </w:pPr>
            <w:r w:rsidRPr="006B0E13">
              <w:t>_</w:t>
            </w:r>
          </w:p>
        </w:tc>
        <w:tc>
          <w:tcPr>
            <w:tcW w:w="4200"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2C319C08" w14:textId="77777777" w:rsidR="006F364B" w:rsidRPr="006B0E13" w:rsidRDefault="006F364B" w:rsidP="00D240D0">
            <w:pPr>
              <w:spacing w:after="160" w:line="259" w:lineRule="auto"/>
              <w:jc w:val="center"/>
            </w:pPr>
            <w:proofErr w:type="spellStart"/>
            <w:r w:rsidRPr="006B0E13">
              <w:t>Dioctyltin</w:t>
            </w:r>
            <w:proofErr w:type="spellEnd"/>
            <w:r w:rsidRPr="006B0E13">
              <w:t xml:space="preserve"> dilaurate, </w:t>
            </w:r>
            <w:proofErr w:type="spellStart"/>
            <w:r w:rsidRPr="006B0E13">
              <w:t>stannane</w:t>
            </w:r>
            <w:proofErr w:type="spellEnd"/>
            <w:r w:rsidRPr="006B0E13">
              <w:t xml:space="preserve">, dioctyl-, </w:t>
            </w:r>
            <w:proofErr w:type="spellStart"/>
            <w:proofErr w:type="gramStart"/>
            <w:r w:rsidRPr="006B0E13">
              <w:t>bis</w:t>
            </w:r>
            <w:proofErr w:type="spellEnd"/>
            <w:r w:rsidRPr="006B0E13">
              <w:t>(</w:t>
            </w:r>
            <w:proofErr w:type="gramEnd"/>
            <w:r w:rsidRPr="006B0E13">
              <w:t xml:space="preserve">coco acyloxy) </w:t>
            </w:r>
            <w:proofErr w:type="spellStart"/>
            <w:r w:rsidRPr="006B0E13">
              <w:t>derivs</w:t>
            </w:r>
            <w:proofErr w:type="spellEnd"/>
            <w:r w:rsidRPr="006B0E13">
              <w:t xml:space="preserve">., and any other </w:t>
            </w:r>
            <w:proofErr w:type="spellStart"/>
            <w:r w:rsidRPr="006B0E13">
              <w:t>stannane</w:t>
            </w:r>
            <w:proofErr w:type="spellEnd"/>
            <w:r w:rsidRPr="006B0E13">
              <w:t xml:space="preserve">, dioctyl-, </w:t>
            </w:r>
            <w:proofErr w:type="spellStart"/>
            <w:r w:rsidRPr="006B0E13">
              <w:t>bis</w:t>
            </w:r>
            <w:proofErr w:type="spellEnd"/>
            <w:r w:rsidRPr="006B0E13">
              <w:t xml:space="preserve">(fatty acyloxy) </w:t>
            </w:r>
            <w:proofErr w:type="spellStart"/>
            <w:r w:rsidRPr="006B0E13">
              <w:t>derivs</w:t>
            </w:r>
            <w:proofErr w:type="spellEnd"/>
            <w:r w:rsidRPr="006B0E13">
              <w:t>. wherein C12 is the predominant carbon number of the fatty acyloxy moiety</w:t>
            </w:r>
          </w:p>
        </w:tc>
        <w:tc>
          <w:tcPr>
            <w:tcW w:w="1200" w:type="dxa"/>
            <w:tcBorders>
              <w:top w:val="single" w:sz="4" w:space="0" w:color="000000" w:themeColor="text1"/>
              <w:left w:val="single" w:sz="4" w:space="0" w:color="000000"/>
              <w:bottom w:val="single" w:sz="4" w:space="0" w:color="000000" w:themeColor="text1"/>
              <w:right w:val="single" w:sz="4" w:space="0" w:color="000000"/>
            </w:tcBorders>
            <w:shd w:val="clear" w:color="auto" w:fill="FFFFFF" w:themeFill="background1"/>
            <w:vAlign w:val="center"/>
          </w:tcPr>
          <w:p w14:paraId="063BB574" w14:textId="77777777" w:rsidR="006F364B" w:rsidRPr="006B0E13" w:rsidRDefault="006F364B" w:rsidP="00D240D0">
            <w:pPr>
              <w:spacing w:after="160" w:line="259" w:lineRule="auto"/>
              <w:jc w:val="center"/>
            </w:pPr>
            <w:r w:rsidRPr="006B0E13">
              <w:t>1/19/2021</w:t>
            </w:r>
          </w:p>
        </w:tc>
      </w:tr>
    </w:tbl>
    <w:p w14:paraId="615F8F90" w14:textId="77777777" w:rsidR="006F364B" w:rsidRPr="00EF11F7" w:rsidRDefault="006F364B" w:rsidP="006F364B">
      <w:pPr>
        <w:pStyle w:val="ListParagraph"/>
        <w:rPr>
          <w:color w:val="000000" w:themeColor="text1"/>
          <w:szCs w:val="20"/>
        </w:rPr>
      </w:pPr>
    </w:p>
    <w:p w14:paraId="0E4F80F9" w14:textId="200249B4" w:rsidR="00E346B5" w:rsidRPr="00541530" w:rsidRDefault="00541530" w:rsidP="00541530">
      <w:pPr>
        <w:pStyle w:val="ListParagraph"/>
        <w:numPr>
          <w:ilvl w:val="0"/>
          <w:numId w:val="42"/>
        </w:numPr>
        <w:spacing w:before="240"/>
      </w:pPr>
      <w:r>
        <w:t>EU Directive (EU)</w:t>
      </w:r>
      <w:r w:rsidR="00C43406">
        <w:t xml:space="preserve"> </w:t>
      </w:r>
      <w:r>
        <w:t xml:space="preserve">2015/863 “RoHS 3” is now in effect as of July 22, 2019. It adds four phthalates to the </w:t>
      </w:r>
      <w:r w:rsidR="00AD4BEB">
        <w:t xml:space="preserve">RoHS </w:t>
      </w:r>
      <w:r>
        <w:t>restricted substances.</w:t>
      </w:r>
    </w:p>
    <w:p w14:paraId="3FA3FA0E" w14:textId="77777777" w:rsidR="00AD4BEB" w:rsidRDefault="00AD4BEB">
      <w:pPr>
        <w:rPr>
          <w:rFonts w:eastAsiaTheme="majorEastAsia"/>
          <w:b/>
          <w:bCs/>
          <w:color w:val="365F91" w:themeColor="accent1" w:themeShade="BF"/>
          <w:sz w:val="28"/>
          <w:szCs w:val="16"/>
        </w:rPr>
      </w:pPr>
      <w:bookmarkStart w:id="5" w:name="_Toc450317809"/>
      <w:r>
        <w:rPr>
          <w:szCs w:val="16"/>
        </w:rPr>
        <w:br w:type="page"/>
      </w:r>
    </w:p>
    <w:p w14:paraId="01C373FC" w14:textId="23C46002" w:rsidR="00C26827" w:rsidRPr="00A71187" w:rsidRDefault="00991B50" w:rsidP="00E479F3">
      <w:pPr>
        <w:pStyle w:val="Heading1"/>
        <w:spacing w:after="240"/>
        <w:rPr>
          <w:rStyle w:val="Heading1Char"/>
          <w:rFonts w:ascii="Arial" w:hAnsi="Arial" w:cs="Arial"/>
          <w:b/>
          <w:bCs/>
        </w:rPr>
      </w:pPr>
      <w:r>
        <w:rPr>
          <w:rFonts w:ascii="Arial" w:hAnsi="Arial" w:cs="Arial"/>
          <w:szCs w:val="16"/>
        </w:rPr>
        <w:lastRenderedPageBreak/>
        <w:t xml:space="preserve">4. </w:t>
      </w:r>
      <w:r w:rsidR="00C26827" w:rsidRPr="006E541E">
        <w:rPr>
          <w:rFonts w:ascii="Arial" w:hAnsi="Arial" w:cs="Arial"/>
          <w:szCs w:val="16"/>
        </w:rPr>
        <w:t>Instructions</w:t>
      </w:r>
      <w:r w:rsidR="00C26827" w:rsidRPr="006E541E">
        <w:rPr>
          <w:rFonts w:ascii="Arial" w:hAnsi="Arial" w:cs="Arial"/>
        </w:rPr>
        <w:t xml:space="preserve"> for Substance Declaration Worksheet</w:t>
      </w:r>
      <w:bookmarkEnd w:id="3"/>
      <w:bookmarkEnd w:id="5"/>
    </w:p>
    <w:p w14:paraId="01C373FD" w14:textId="2E128CB6" w:rsidR="00CD2B22" w:rsidRDefault="00CD2B22" w:rsidP="002D1F8D">
      <w:pPr>
        <w:pStyle w:val="BodyText"/>
        <w:spacing w:after="240" w:line="276" w:lineRule="auto"/>
        <w:jc w:val="left"/>
        <w:rPr>
          <w:rFonts w:ascii="Arial" w:hAnsi="Arial" w:cs="Arial"/>
        </w:rPr>
      </w:pPr>
      <w:r>
        <w:rPr>
          <w:rFonts w:ascii="Arial" w:hAnsi="Arial" w:cs="Arial"/>
        </w:rPr>
        <w:t>The Sub</w:t>
      </w:r>
      <w:r w:rsidR="005467CB">
        <w:rPr>
          <w:rFonts w:ascii="Arial" w:hAnsi="Arial" w:cs="Arial"/>
        </w:rPr>
        <w:t xml:space="preserve">stance Declaration Worksheet is </w:t>
      </w:r>
      <w:r>
        <w:rPr>
          <w:rFonts w:ascii="Arial" w:hAnsi="Arial" w:cs="Arial"/>
        </w:rPr>
        <w:t xml:space="preserve">to help providers </w:t>
      </w:r>
      <w:r w:rsidR="005B274D">
        <w:rPr>
          <w:rFonts w:ascii="Arial" w:hAnsi="Arial" w:cs="Arial"/>
        </w:rPr>
        <w:t xml:space="preserve">supply </w:t>
      </w:r>
      <w:r>
        <w:rPr>
          <w:rFonts w:ascii="Arial" w:hAnsi="Arial" w:cs="Arial"/>
        </w:rPr>
        <w:t>requested GP</w:t>
      </w:r>
      <w:r w:rsidR="00C16F0C">
        <w:rPr>
          <w:rFonts w:ascii="Arial" w:hAnsi="Arial" w:cs="Arial"/>
        </w:rPr>
        <w:t xml:space="preserve">CSE information. </w:t>
      </w:r>
      <w:r>
        <w:rPr>
          <w:rFonts w:ascii="Arial" w:hAnsi="Arial" w:cs="Arial"/>
        </w:rPr>
        <w:t xml:space="preserve">Please use exact and concise language when completing. Alternate worksheets may be used </w:t>
      </w:r>
      <w:proofErr w:type="gramStart"/>
      <w:r w:rsidR="005B274D">
        <w:rPr>
          <w:rFonts w:ascii="Arial" w:hAnsi="Arial" w:cs="Arial"/>
        </w:rPr>
        <w:t>as long as</w:t>
      </w:r>
      <w:proofErr w:type="gramEnd"/>
      <w:r w:rsidR="005B274D">
        <w:rPr>
          <w:rFonts w:ascii="Arial" w:hAnsi="Arial" w:cs="Arial"/>
        </w:rPr>
        <w:t xml:space="preserve"> they provide the required</w:t>
      </w:r>
      <w:r>
        <w:rPr>
          <w:rFonts w:ascii="Arial" w:hAnsi="Arial" w:cs="Arial"/>
        </w:rPr>
        <w:t xml:space="preserve"> information.</w:t>
      </w:r>
    </w:p>
    <w:p w14:paraId="7A0FA241" w14:textId="77777777" w:rsidR="00533631" w:rsidRPr="00533631" w:rsidRDefault="004D7582" w:rsidP="005E50A8">
      <w:pPr>
        <w:pStyle w:val="BodyText"/>
        <w:numPr>
          <w:ilvl w:val="0"/>
          <w:numId w:val="27"/>
        </w:numPr>
        <w:spacing w:line="276" w:lineRule="auto"/>
        <w:jc w:val="left"/>
        <w:rPr>
          <w:rFonts w:ascii="Arial" w:hAnsi="Arial" w:cs="Arial"/>
        </w:rPr>
      </w:pPr>
      <w:r w:rsidRPr="00533631">
        <w:rPr>
          <w:rFonts w:ascii="Arial" w:hAnsi="Arial" w:cs="Arial"/>
          <w:color w:val="000000" w:themeColor="text1"/>
        </w:rPr>
        <w:t>The Substa</w:t>
      </w:r>
      <w:r w:rsidR="006A16E5" w:rsidRPr="00533631">
        <w:rPr>
          <w:rFonts w:ascii="Arial" w:hAnsi="Arial" w:cs="Arial"/>
          <w:color w:val="000000" w:themeColor="text1"/>
        </w:rPr>
        <w:t>nce Declaration Worksheet is to</w:t>
      </w:r>
      <w:r w:rsidRPr="00533631">
        <w:rPr>
          <w:rFonts w:ascii="Arial" w:hAnsi="Arial" w:cs="Arial"/>
          <w:color w:val="000000" w:themeColor="text1"/>
        </w:rPr>
        <w:t xml:space="preserve"> be completed to the requirements of the </w:t>
      </w:r>
      <w:r w:rsidR="00533631" w:rsidRPr="00533631">
        <w:rPr>
          <w:rFonts w:ascii="Arial" w:hAnsi="Arial" w:cs="Arial"/>
          <w:color w:val="000000" w:themeColor="text1"/>
        </w:rPr>
        <w:t>latest GPCSE (available at supplier.xrite.com) and latest published regulations.</w:t>
      </w:r>
    </w:p>
    <w:p w14:paraId="01C373FF" w14:textId="44D09498" w:rsidR="00CD2B22" w:rsidRPr="00533631" w:rsidRDefault="00CD2B22" w:rsidP="005E50A8">
      <w:pPr>
        <w:pStyle w:val="BodyText"/>
        <w:numPr>
          <w:ilvl w:val="0"/>
          <w:numId w:val="27"/>
        </w:numPr>
        <w:spacing w:line="276" w:lineRule="auto"/>
        <w:jc w:val="left"/>
        <w:rPr>
          <w:rFonts w:ascii="Arial" w:hAnsi="Arial" w:cs="Arial"/>
        </w:rPr>
      </w:pPr>
      <w:r w:rsidRPr="00533631">
        <w:rPr>
          <w:rFonts w:ascii="Arial" w:hAnsi="Arial" w:cs="Arial"/>
        </w:rPr>
        <w:t xml:space="preserve">Enter provider </w:t>
      </w:r>
      <w:r w:rsidR="00723918" w:rsidRPr="00533631">
        <w:rPr>
          <w:rFonts w:ascii="Arial" w:hAnsi="Arial" w:cs="Arial"/>
        </w:rPr>
        <w:t xml:space="preserve">company </w:t>
      </w:r>
      <w:r w:rsidRPr="00533631">
        <w:rPr>
          <w:rFonts w:ascii="Arial" w:hAnsi="Arial" w:cs="Arial"/>
        </w:rPr>
        <w:t>name and contact information.</w:t>
      </w:r>
    </w:p>
    <w:p w14:paraId="01C37400" w14:textId="62A25A3C" w:rsidR="00723918" w:rsidRPr="00723918" w:rsidRDefault="00723918" w:rsidP="00723918">
      <w:pPr>
        <w:pStyle w:val="BodyText"/>
        <w:numPr>
          <w:ilvl w:val="0"/>
          <w:numId w:val="27"/>
        </w:numPr>
        <w:spacing w:line="276" w:lineRule="auto"/>
        <w:jc w:val="left"/>
        <w:rPr>
          <w:rFonts w:ascii="Arial" w:hAnsi="Arial" w:cs="Arial"/>
          <w:color w:val="000000" w:themeColor="text1"/>
        </w:rPr>
      </w:pPr>
      <w:r>
        <w:rPr>
          <w:rFonts w:ascii="Arial" w:hAnsi="Arial" w:cs="Arial"/>
          <w:color w:val="000000" w:themeColor="text1"/>
        </w:rPr>
        <w:t xml:space="preserve">Enter </w:t>
      </w:r>
      <w:r w:rsidRPr="00C26827">
        <w:rPr>
          <w:rFonts w:ascii="Arial" w:hAnsi="Arial" w:cs="Arial"/>
          <w:color w:val="000000" w:themeColor="text1"/>
        </w:rPr>
        <w:t xml:space="preserve">authorized </w:t>
      </w:r>
      <w:r w:rsidR="00533631">
        <w:rPr>
          <w:rFonts w:ascii="Arial" w:hAnsi="Arial" w:cs="Arial"/>
          <w:color w:val="000000" w:themeColor="text1"/>
        </w:rPr>
        <w:t xml:space="preserve">representative name and signature </w:t>
      </w:r>
      <w:r w:rsidRPr="00C26827">
        <w:rPr>
          <w:rFonts w:ascii="Arial" w:hAnsi="Arial" w:cs="Arial"/>
          <w:color w:val="000000" w:themeColor="text1"/>
        </w:rPr>
        <w:t>attesting that the information</w:t>
      </w:r>
      <w:r w:rsidR="006A16E5">
        <w:rPr>
          <w:rFonts w:ascii="Arial" w:hAnsi="Arial" w:cs="Arial"/>
          <w:color w:val="000000" w:themeColor="text1"/>
        </w:rPr>
        <w:t xml:space="preserve"> being provided</w:t>
      </w:r>
      <w:r w:rsidRPr="00C26827">
        <w:rPr>
          <w:rFonts w:ascii="Arial" w:hAnsi="Arial" w:cs="Arial"/>
          <w:color w:val="000000" w:themeColor="text1"/>
        </w:rPr>
        <w:t xml:space="preserve"> is complete and accurat</w:t>
      </w:r>
      <w:r w:rsidR="00533631">
        <w:rPr>
          <w:rFonts w:ascii="Arial" w:hAnsi="Arial" w:cs="Arial"/>
          <w:color w:val="000000" w:themeColor="text1"/>
        </w:rPr>
        <w:t>e to the best of your knowledge as of the entered date.</w:t>
      </w:r>
    </w:p>
    <w:p w14:paraId="01C37401" w14:textId="794725DD" w:rsidR="00C26827" w:rsidRPr="00CD2B22" w:rsidRDefault="00CD2B22" w:rsidP="002D1F8D">
      <w:pPr>
        <w:pStyle w:val="BodyText"/>
        <w:numPr>
          <w:ilvl w:val="0"/>
          <w:numId w:val="27"/>
        </w:numPr>
        <w:spacing w:line="276" w:lineRule="auto"/>
        <w:jc w:val="left"/>
        <w:rPr>
          <w:rFonts w:ascii="Arial" w:hAnsi="Arial" w:cs="Arial"/>
        </w:rPr>
      </w:pPr>
      <w:r>
        <w:rPr>
          <w:rFonts w:ascii="Arial" w:hAnsi="Arial" w:cs="Arial"/>
        </w:rPr>
        <w:t xml:space="preserve">Enter </w:t>
      </w:r>
      <w:r w:rsidR="006A16E5">
        <w:rPr>
          <w:rFonts w:ascii="Arial" w:hAnsi="Arial" w:cs="Arial"/>
        </w:rPr>
        <w:t xml:space="preserve">X-Rite and Provider </w:t>
      </w:r>
      <w:r w:rsidR="00E7421D">
        <w:rPr>
          <w:rFonts w:ascii="Arial" w:hAnsi="Arial" w:cs="Arial"/>
        </w:rPr>
        <w:t>part number for each part or material (or family of parts</w:t>
      </w:r>
      <w:r>
        <w:rPr>
          <w:rFonts w:ascii="Arial" w:hAnsi="Arial" w:cs="Arial"/>
        </w:rPr>
        <w:t xml:space="preserve"> if the information so applies).</w:t>
      </w:r>
    </w:p>
    <w:p w14:paraId="12FC216E" w14:textId="539F2D11" w:rsidR="00EB1407" w:rsidRPr="00710C5E" w:rsidRDefault="00C26827" w:rsidP="00EB1407">
      <w:pPr>
        <w:pStyle w:val="BodyText"/>
        <w:numPr>
          <w:ilvl w:val="0"/>
          <w:numId w:val="27"/>
        </w:numPr>
        <w:spacing w:line="276" w:lineRule="auto"/>
        <w:jc w:val="left"/>
        <w:rPr>
          <w:rFonts w:ascii="Arial" w:hAnsi="Arial" w:cs="Arial"/>
          <w:color w:val="000000" w:themeColor="text1"/>
        </w:rPr>
      </w:pPr>
      <w:r w:rsidRPr="00C26827">
        <w:rPr>
          <w:rFonts w:ascii="Arial" w:hAnsi="Arial" w:cs="Arial"/>
          <w:color w:val="000000" w:themeColor="text1"/>
        </w:rPr>
        <w:t xml:space="preserve">Enter all known substance content/amount information for the </w:t>
      </w:r>
      <w:r w:rsidR="00E7421D">
        <w:rPr>
          <w:rFonts w:ascii="Arial" w:hAnsi="Arial" w:cs="Arial"/>
          <w:color w:val="000000" w:themeColor="text1"/>
        </w:rPr>
        <w:t>part or material</w:t>
      </w:r>
      <w:r w:rsidRPr="00C26827">
        <w:rPr>
          <w:rFonts w:ascii="Arial" w:hAnsi="Arial" w:cs="Arial"/>
          <w:color w:val="000000" w:themeColor="text1"/>
        </w:rPr>
        <w:t xml:space="preserve"> – even if it is fully compliant. This</w:t>
      </w:r>
      <w:r w:rsidR="00B05770">
        <w:rPr>
          <w:rFonts w:ascii="Arial" w:hAnsi="Arial" w:cs="Arial"/>
          <w:color w:val="000000" w:themeColor="text1"/>
        </w:rPr>
        <w:t xml:space="preserve"> helps when compiling the finished </w:t>
      </w:r>
      <w:r w:rsidRPr="00C26827">
        <w:rPr>
          <w:rFonts w:ascii="Arial" w:hAnsi="Arial" w:cs="Arial"/>
          <w:color w:val="000000" w:themeColor="text1"/>
        </w:rPr>
        <w:t xml:space="preserve">product </w:t>
      </w:r>
      <w:r w:rsidR="001024EC">
        <w:rPr>
          <w:rFonts w:ascii="Arial" w:hAnsi="Arial" w:cs="Arial"/>
          <w:color w:val="000000" w:themeColor="text1"/>
        </w:rPr>
        <w:t xml:space="preserve">total </w:t>
      </w:r>
      <w:r w:rsidRPr="00C26827">
        <w:rPr>
          <w:rFonts w:ascii="Arial" w:hAnsi="Arial" w:cs="Arial"/>
          <w:color w:val="000000" w:themeColor="text1"/>
        </w:rPr>
        <w:t>substa</w:t>
      </w:r>
      <w:r w:rsidR="00EB1407">
        <w:rPr>
          <w:rFonts w:ascii="Arial" w:hAnsi="Arial" w:cs="Arial"/>
          <w:color w:val="000000" w:themeColor="text1"/>
        </w:rPr>
        <w:t>nce content/amount information.</w:t>
      </w:r>
      <w:r w:rsidRPr="00C26827">
        <w:rPr>
          <w:rFonts w:ascii="Arial" w:hAnsi="Arial" w:cs="Arial"/>
          <w:color w:val="000000" w:themeColor="text1"/>
        </w:rPr>
        <w:t xml:space="preserve"> </w:t>
      </w:r>
    </w:p>
    <w:p w14:paraId="3A6E6105" w14:textId="08E778E9" w:rsidR="00EB1407" w:rsidRPr="00182A7B" w:rsidRDefault="00C26827" w:rsidP="00EB1407">
      <w:pPr>
        <w:pStyle w:val="BodyText"/>
        <w:numPr>
          <w:ilvl w:val="0"/>
          <w:numId w:val="27"/>
        </w:numPr>
        <w:spacing w:line="276" w:lineRule="auto"/>
        <w:jc w:val="left"/>
        <w:rPr>
          <w:rFonts w:ascii="Arial" w:hAnsi="Arial" w:cs="Arial"/>
          <w:color w:val="000000" w:themeColor="text1"/>
        </w:rPr>
      </w:pPr>
      <w:r w:rsidRPr="00710C5E">
        <w:rPr>
          <w:rFonts w:ascii="Arial" w:hAnsi="Arial" w:cs="Arial"/>
          <w:color w:val="000000" w:themeColor="text1"/>
        </w:rPr>
        <w:t>Full Material Disclosure (to 0.1% or greater res</w:t>
      </w:r>
      <w:r w:rsidR="00EB1407" w:rsidRPr="00710C5E">
        <w:rPr>
          <w:rFonts w:ascii="Arial" w:hAnsi="Arial" w:cs="Arial"/>
          <w:color w:val="000000" w:themeColor="text1"/>
        </w:rPr>
        <w:t>olut</w:t>
      </w:r>
      <w:r w:rsidR="00E7421D" w:rsidRPr="00710C5E">
        <w:rPr>
          <w:rFonts w:ascii="Arial" w:hAnsi="Arial" w:cs="Arial"/>
          <w:color w:val="000000" w:themeColor="text1"/>
        </w:rPr>
        <w:t>ion</w:t>
      </w:r>
      <w:r w:rsidR="00B5365F" w:rsidRPr="00710C5E">
        <w:rPr>
          <w:rFonts w:ascii="Arial" w:hAnsi="Arial" w:cs="Arial"/>
          <w:color w:val="000000" w:themeColor="text1"/>
        </w:rPr>
        <w:t xml:space="preserve"> for </w:t>
      </w:r>
      <w:r w:rsidR="00B5365F" w:rsidRPr="00710C5E">
        <w:rPr>
          <w:rFonts w:ascii="Arial" w:hAnsi="Arial" w:cs="Arial"/>
          <w:color w:val="000000" w:themeColor="text1"/>
          <w:u w:val="single"/>
        </w:rPr>
        <w:t>all</w:t>
      </w:r>
      <w:r w:rsidR="00DB6517" w:rsidRPr="00710C5E">
        <w:rPr>
          <w:rFonts w:ascii="Arial" w:hAnsi="Arial" w:cs="Arial"/>
          <w:color w:val="000000" w:themeColor="text1"/>
        </w:rPr>
        <w:t xml:space="preserve"> substances present</w:t>
      </w:r>
      <w:r w:rsidR="00E7421D" w:rsidRPr="00710C5E">
        <w:rPr>
          <w:rFonts w:ascii="Arial" w:hAnsi="Arial" w:cs="Arial"/>
          <w:color w:val="000000" w:themeColor="text1"/>
        </w:rPr>
        <w:t>) is recommended for any part or material</w:t>
      </w:r>
      <w:r w:rsidRPr="00710C5E">
        <w:rPr>
          <w:rFonts w:ascii="Arial" w:hAnsi="Arial" w:cs="Arial"/>
          <w:color w:val="000000" w:themeColor="text1"/>
        </w:rPr>
        <w:t xml:space="preserve"> being supplied. If </w:t>
      </w:r>
      <w:r w:rsidRPr="00C26827">
        <w:rPr>
          <w:rFonts w:ascii="Arial" w:hAnsi="Arial" w:cs="Arial"/>
          <w:color w:val="000000" w:themeColor="text1"/>
        </w:rPr>
        <w:t>kept current, this provides comprehensive s</w:t>
      </w:r>
      <w:r w:rsidR="00E7421D">
        <w:rPr>
          <w:rFonts w:ascii="Arial" w:hAnsi="Arial" w:cs="Arial"/>
          <w:color w:val="000000" w:themeColor="text1"/>
        </w:rPr>
        <w:t>ubstance information on the part or material</w:t>
      </w:r>
      <w:r w:rsidRPr="00C26827">
        <w:rPr>
          <w:rFonts w:ascii="Arial" w:hAnsi="Arial" w:cs="Arial"/>
          <w:color w:val="000000" w:themeColor="text1"/>
        </w:rPr>
        <w:t xml:space="preserve"> and will reduce the need for further information inquiries as new substances restrictions and </w:t>
      </w:r>
      <w:r w:rsidRPr="00182A7B">
        <w:rPr>
          <w:rFonts w:ascii="Arial" w:hAnsi="Arial" w:cs="Arial"/>
          <w:color w:val="000000" w:themeColor="text1"/>
        </w:rPr>
        <w:t>reporting requirements are added to the various regulations.</w:t>
      </w:r>
    </w:p>
    <w:p w14:paraId="65B3D5BF" w14:textId="3AB51EBD" w:rsidR="00EB1407" w:rsidRPr="00182A7B" w:rsidRDefault="00A31E55" w:rsidP="00EB1407">
      <w:pPr>
        <w:pStyle w:val="BodyText"/>
        <w:numPr>
          <w:ilvl w:val="0"/>
          <w:numId w:val="27"/>
        </w:numPr>
        <w:spacing w:line="276" w:lineRule="auto"/>
        <w:jc w:val="left"/>
        <w:rPr>
          <w:rFonts w:ascii="Arial" w:hAnsi="Arial" w:cs="Arial"/>
          <w:color w:val="000000" w:themeColor="text1"/>
        </w:rPr>
      </w:pPr>
      <w:r>
        <w:rPr>
          <w:rFonts w:ascii="Arial" w:hAnsi="Arial" w:cs="Arial"/>
          <w:color w:val="000000" w:themeColor="text1"/>
        </w:rPr>
        <w:t>P</w:t>
      </w:r>
      <w:r w:rsidR="00C00209" w:rsidRPr="00182A7B">
        <w:rPr>
          <w:rFonts w:ascii="Arial" w:hAnsi="Arial" w:cs="Arial"/>
          <w:color w:val="000000" w:themeColor="text1"/>
        </w:rPr>
        <w:t>roviders</w:t>
      </w:r>
      <w:r w:rsidR="00375A16">
        <w:rPr>
          <w:rFonts w:ascii="Arial" w:hAnsi="Arial" w:cs="Arial"/>
          <w:color w:val="000000" w:themeColor="text1"/>
        </w:rPr>
        <w:t xml:space="preserve"> of X-Rite </w:t>
      </w:r>
      <w:r>
        <w:rPr>
          <w:rFonts w:ascii="Arial" w:hAnsi="Arial" w:cs="Arial"/>
          <w:color w:val="000000" w:themeColor="text1"/>
        </w:rPr>
        <w:t>circuit board</w:t>
      </w:r>
      <w:r w:rsidR="00C00209" w:rsidRPr="00182A7B">
        <w:rPr>
          <w:rFonts w:ascii="Arial" w:hAnsi="Arial" w:cs="Arial"/>
          <w:color w:val="000000" w:themeColor="text1"/>
        </w:rPr>
        <w:t xml:space="preserve"> </w:t>
      </w:r>
      <w:r>
        <w:rPr>
          <w:rFonts w:ascii="Arial" w:hAnsi="Arial" w:cs="Arial"/>
          <w:color w:val="000000" w:themeColor="text1"/>
        </w:rPr>
        <w:t xml:space="preserve">assemblies </w:t>
      </w:r>
      <w:r w:rsidRPr="00A31E55">
        <w:rPr>
          <w:rFonts w:ascii="Arial" w:hAnsi="Arial" w:cs="Arial"/>
          <w:color w:val="000000" w:themeColor="text1"/>
        </w:rPr>
        <w:t>shall complete a Substance Declaration Worksheet for the assembly.</w:t>
      </w:r>
    </w:p>
    <w:p w14:paraId="0A7998F7" w14:textId="7AA392AF" w:rsidR="00707A0C" w:rsidRPr="00A31E55" w:rsidRDefault="00C00209" w:rsidP="00A31E55">
      <w:pPr>
        <w:pStyle w:val="BodyText"/>
        <w:numPr>
          <w:ilvl w:val="1"/>
          <w:numId w:val="27"/>
        </w:numPr>
        <w:jc w:val="left"/>
        <w:rPr>
          <w:rFonts w:ascii="Arial" w:hAnsi="Arial" w:cs="Arial"/>
          <w:color w:val="000000" w:themeColor="text1"/>
        </w:rPr>
      </w:pPr>
      <w:r w:rsidRPr="00A31E55">
        <w:rPr>
          <w:rFonts w:ascii="Arial" w:hAnsi="Arial" w:cs="Arial"/>
          <w:color w:val="000000" w:themeColor="text1"/>
        </w:rPr>
        <w:t xml:space="preserve">X-Rite </w:t>
      </w:r>
      <w:r w:rsidR="00A31E55">
        <w:rPr>
          <w:rFonts w:ascii="Arial" w:hAnsi="Arial" w:cs="Arial"/>
          <w:color w:val="000000" w:themeColor="text1"/>
        </w:rPr>
        <w:t xml:space="preserve">normally specifies </w:t>
      </w:r>
      <w:r w:rsidRPr="00A31E55">
        <w:rPr>
          <w:rFonts w:ascii="Arial" w:hAnsi="Arial" w:cs="Arial"/>
          <w:color w:val="000000" w:themeColor="text1"/>
          <w:u w:val="single"/>
        </w:rPr>
        <w:t>exact</w:t>
      </w:r>
      <w:r w:rsidRPr="00A31E55">
        <w:rPr>
          <w:rFonts w:ascii="Arial" w:hAnsi="Arial" w:cs="Arial"/>
          <w:color w:val="000000" w:themeColor="text1"/>
        </w:rPr>
        <w:t xml:space="preserve"> components</w:t>
      </w:r>
      <w:r w:rsidR="00892B51" w:rsidRPr="00A31E55">
        <w:rPr>
          <w:rFonts w:ascii="Arial" w:hAnsi="Arial" w:cs="Arial"/>
          <w:color w:val="000000" w:themeColor="text1"/>
        </w:rPr>
        <w:t xml:space="preserve"> (i.e., </w:t>
      </w:r>
      <w:r w:rsidRPr="00A31E55">
        <w:rPr>
          <w:rFonts w:ascii="Arial" w:hAnsi="Arial" w:cs="Arial"/>
          <w:color w:val="000000" w:themeColor="text1"/>
        </w:rPr>
        <w:t xml:space="preserve">manufacturer and manufacturer </w:t>
      </w:r>
      <w:r w:rsidR="0024591C" w:rsidRPr="00A31E55">
        <w:rPr>
          <w:rFonts w:ascii="Arial" w:hAnsi="Arial" w:cs="Arial"/>
          <w:color w:val="000000" w:themeColor="text1"/>
        </w:rPr>
        <w:t>part number</w:t>
      </w:r>
      <w:r w:rsidR="00892B51" w:rsidRPr="00A31E55">
        <w:rPr>
          <w:rFonts w:ascii="Arial" w:hAnsi="Arial" w:cs="Arial"/>
          <w:color w:val="000000" w:themeColor="text1"/>
        </w:rPr>
        <w:t>)</w:t>
      </w:r>
      <w:r w:rsidR="00FA69C2" w:rsidRPr="00A31E55">
        <w:rPr>
          <w:rFonts w:ascii="Arial" w:hAnsi="Arial" w:cs="Arial"/>
          <w:color w:val="000000" w:themeColor="text1"/>
        </w:rPr>
        <w:t xml:space="preserve"> to </w:t>
      </w:r>
      <w:r w:rsidR="00707A0C" w:rsidRPr="00A31E55">
        <w:rPr>
          <w:rFonts w:ascii="Arial" w:hAnsi="Arial" w:cs="Arial"/>
          <w:color w:val="000000" w:themeColor="text1"/>
        </w:rPr>
        <w:t>be used</w:t>
      </w:r>
      <w:r w:rsidR="00A31E55" w:rsidRPr="00A31E55">
        <w:rPr>
          <w:rFonts w:ascii="Arial" w:hAnsi="Arial" w:cs="Arial"/>
          <w:color w:val="000000" w:themeColor="text1"/>
        </w:rPr>
        <w:t xml:space="preserve"> in the assembly</w:t>
      </w:r>
      <w:r w:rsidR="00A31E55">
        <w:rPr>
          <w:rFonts w:ascii="Arial" w:hAnsi="Arial" w:cs="Arial"/>
          <w:color w:val="000000" w:themeColor="text1"/>
        </w:rPr>
        <w:t xml:space="preserve">. X-Rite maintains the compliance information on these components </w:t>
      </w:r>
      <w:r w:rsidR="00AF1FE2" w:rsidRPr="00A31E55">
        <w:rPr>
          <w:rFonts w:ascii="Arial" w:hAnsi="Arial" w:cs="Arial"/>
          <w:color w:val="000000" w:themeColor="text1"/>
        </w:rPr>
        <w:t xml:space="preserve">and </w:t>
      </w:r>
      <w:r w:rsidR="00A31E55">
        <w:rPr>
          <w:rFonts w:ascii="Arial" w:hAnsi="Arial" w:cs="Arial"/>
          <w:color w:val="000000" w:themeColor="text1"/>
        </w:rPr>
        <w:t xml:space="preserve">they </w:t>
      </w:r>
      <w:r w:rsidR="0024591C" w:rsidRPr="00A31E55">
        <w:rPr>
          <w:rFonts w:ascii="Arial" w:hAnsi="Arial" w:cs="Arial"/>
          <w:color w:val="000000" w:themeColor="text1"/>
        </w:rPr>
        <w:t xml:space="preserve">do not </w:t>
      </w:r>
      <w:r w:rsidR="00AF1FE2" w:rsidRPr="00A31E55">
        <w:rPr>
          <w:rFonts w:ascii="Arial" w:hAnsi="Arial" w:cs="Arial"/>
          <w:color w:val="000000" w:themeColor="text1"/>
        </w:rPr>
        <w:t>need</w:t>
      </w:r>
      <w:r w:rsidR="0024591C" w:rsidRPr="00A31E55">
        <w:rPr>
          <w:rFonts w:ascii="Arial" w:hAnsi="Arial" w:cs="Arial"/>
          <w:color w:val="000000" w:themeColor="text1"/>
        </w:rPr>
        <w:t xml:space="preserve"> to be </w:t>
      </w:r>
      <w:r w:rsidR="00A31E55">
        <w:rPr>
          <w:rFonts w:ascii="Arial" w:hAnsi="Arial" w:cs="Arial"/>
          <w:color w:val="000000" w:themeColor="text1"/>
        </w:rPr>
        <w:t xml:space="preserve">individually </w:t>
      </w:r>
      <w:r w:rsidR="002D304D" w:rsidRPr="00A31E55">
        <w:rPr>
          <w:rFonts w:ascii="Arial" w:hAnsi="Arial" w:cs="Arial"/>
          <w:color w:val="000000" w:themeColor="text1"/>
        </w:rPr>
        <w:t>included</w:t>
      </w:r>
      <w:r w:rsidR="0024591C" w:rsidRPr="00A31E55">
        <w:rPr>
          <w:rFonts w:ascii="Arial" w:hAnsi="Arial" w:cs="Arial"/>
          <w:color w:val="000000" w:themeColor="text1"/>
        </w:rPr>
        <w:t xml:space="preserve"> on </w:t>
      </w:r>
      <w:r w:rsidR="00A31E55">
        <w:rPr>
          <w:rFonts w:ascii="Arial" w:hAnsi="Arial" w:cs="Arial"/>
          <w:color w:val="000000" w:themeColor="text1"/>
        </w:rPr>
        <w:t>the w</w:t>
      </w:r>
      <w:r w:rsidRPr="00A31E55">
        <w:rPr>
          <w:rFonts w:ascii="Arial" w:hAnsi="Arial" w:cs="Arial"/>
          <w:color w:val="000000" w:themeColor="text1"/>
        </w:rPr>
        <w:t>orksheet</w:t>
      </w:r>
      <w:r w:rsidR="00A31E55">
        <w:rPr>
          <w:rFonts w:ascii="Arial" w:hAnsi="Arial" w:cs="Arial"/>
          <w:color w:val="000000" w:themeColor="text1"/>
        </w:rPr>
        <w:t xml:space="preserve">. </w:t>
      </w:r>
      <w:r w:rsidR="00A31E55" w:rsidRPr="00A31E55">
        <w:rPr>
          <w:rFonts w:ascii="Arial" w:hAnsi="Arial" w:cs="Arial"/>
          <w:color w:val="000000" w:themeColor="text1"/>
        </w:rPr>
        <w:t xml:space="preserve">The provider </w:t>
      </w:r>
      <w:proofErr w:type="gramStart"/>
      <w:r w:rsidR="00A31E55">
        <w:rPr>
          <w:rFonts w:ascii="Arial" w:hAnsi="Arial" w:cs="Arial"/>
          <w:color w:val="000000" w:themeColor="text1"/>
        </w:rPr>
        <w:t xml:space="preserve">should </w:t>
      </w:r>
      <w:r w:rsidR="00A31E55" w:rsidRPr="00A31E55">
        <w:rPr>
          <w:rFonts w:ascii="Arial" w:hAnsi="Arial" w:cs="Arial"/>
          <w:color w:val="000000" w:themeColor="text1"/>
        </w:rPr>
        <w:t xml:space="preserve"> acknowledge</w:t>
      </w:r>
      <w:proofErr w:type="gramEnd"/>
      <w:r w:rsidR="00A31E55" w:rsidRPr="00A31E55">
        <w:rPr>
          <w:rFonts w:ascii="Arial" w:hAnsi="Arial" w:cs="Arial"/>
          <w:color w:val="000000" w:themeColor="text1"/>
        </w:rPr>
        <w:t xml:space="preserve"> this fact on the worksheet with a statement like: “Components used in this assembly comply with the X-Rite Bill of Material </w:t>
      </w:r>
      <w:r w:rsidR="00A31E55">
        <w:rPr>
          <w:rFonts w:ascii="Arial" w:hAnsi="Arial" w:cs="Arial"/>
          <w:color w:val="000000" w:themeColor="text1"/>
        </w:rPr>
        <w:t>and/</w:t>
      </w:r>
      <w:r w:rsidR="00A31E55" w:rsidRPr="00A31E55">
        <w:rPr>
          <w:rFonts w:ascii="Arial" w:hAnsi="Arial" w:cs="Arial"/>
          <w:color w:val="000000" w:themeColor="text1"/>
        </w:rPr>
        <w:t>or are X-Rite pre-approved alternates.”</w:t>
      </w:r>
    </w:p>
    <w:p w14:paraId="2EF56045" w14:textId="10E07123" w:rsidR="00C00209" w:rsidRPr="00EF11F7" w:rsidRDefault="00A51ED7" w:rsidP="00A31E55">
      <w:pPr>
        <w:pStyle w:val="BodyText"/>
        <w:numPr>
          <w:ilvl w:val="1"/>
          <w:numId w:val="27"/>
        </w:numPr>
        <w:spacing w:line="276" w:lineRule="auto"/>
        <w:jc w:val="left"/>
        <w:rPr>
          <w:rFonts w:ascii="Arial" w:hAnsi="Arial" w:cs="Arial"/>
          <w:color w:val="000000" w:themeColor="text1"/>
        </w:rPr>
      </w:pPr>
      <w:r>
        <w:rPr>
          <w:rFonts w:ascii="Arial" w:hAnsi="Arial" w:cs="Arial"/>
          <w:color w:val="000000" w:themeColor="text1"/>
        </w:rPr>
        <w:t>C</w:t>
      </w:r>
      <w:r w:rsidR="00707A0C">
        <w:rPr>
          <w:rFonts w:ascii="Arial" w:hAnsi="Arial" w:cs="Arial"/>
          <w:color w:val="000000" w:themeColor="text1"/>
        </w:rPr>
        <w:t>omponents</w:t>
      </w:r>
      <w:r w:rsidR="00A31E55">
        <w:rPr>
          <w:rFonts w:ascii="Arial" w:hAnsi="Arial" w:cs="Arial"/>
          <w:color w:val="000000" w:themeColor="text1"/>
        </w:rPr>
        <w:t>, parts or materials</w:t>
      </w:r>
      <w:r w:rsidR="001F14F5">
        <w:rPr>
          <w:rFonts w:ascii="Arial" w:hAnsi="Arial" w:cs="Arial"/>
          <w:color w:val="000000" w:themeColor="text1"/>
        </w:rPr>
        <w:t xml:space="preserve"> </w:t>
      </w:r>
      <w:r w:rsidR="00A31E55">
        <w:rPr>
          <w:rFonts w:ascii="Arial" w:hAnsi="Arial" w:cs="Arial"/>
          <w:color w:val="000000" w:themeColor="text1"/>
        </w:rPr>
        <w:t xml:space="preserve">used in the assembly </w:t>
      </w:r>
      <w:r w:rsidR="001F14F5">
        <w:rPr>
          <w:rFonts w:ascii="Arial" w:hAnsi="Arial" w:cs="Arial"/>
          <w:color w:val="000000" w:themeColor="text1"/>
        </w:rPr>
        <w:t>t</w:t>
      </w:r>
      <w:r w:rsidR="00707A0C">
        <w:rPr>
          <w:rFonts w:ascii="Arial" w:hAnsi="Arial" w:cs="Arial"/>
          <w:color w:val="000000" w:themeColor="text1"/>
        </w:rPr>
        <w:t>hat X-Rite has n</w:t>
      </w:r>
      <w:r w:rsidR="00A31E55">
        <w:rPr>
          <w:rFonts w:ascii="Arial" w:hAnsi="Arial" w:cs="Arial"/>
          <w:color w:val="000000" w:themeColor="text1"/>
        </w:rPr>
        <w:t xml:space="preserve">ot specified </w:t>
      </w:r>
      <w:r w:rsidR="00302706">
        <w:rPr>
          <w:rFonts w:ascii="Arial" w:hAnsi="Arial" w:cs="Arial"/>
          <w:color w:val="000000" w:themeColor="text1"/>
        </w:rPr>
        <w:t xml:space="preserve">exactly </w:t>
      </w:r>
      <w:r w:rsidR="00A31E55">
        <w:rPr>
          <w:rFonts w:ascii="Arial" w:hAnsi="Arial" w:cs="Arial"/>
          <w:color w:val="000000" w:themeColor="text1"/>
        </w:rPr>
        <w:t xml:space="preserve">are </w:t>
      </w:r>
      <w:r w:rsidR="00C00209" w:rsidRPr="005B379F">
        <w:rPr>
          <w:rFonts w:ascii="Arial" w:hAnsi="Arial" w:cs="Arial"/>
          <w:color w:val="000000" w:themeColor="text1"/>
        </w:rPr>
        <w:t>require</w:t>
      </w:r>
      <w:r w:rsidR="00A31E55">
        <w:rPr>
          <w:rFonts w:ascii="Arial" w:hAnsi="Arial" w:cs="Arial"/>
          <w:color w:val="000000" w:themeColor="text1"/>
        </w:rPr>
        <w:t>d to be entered on the</w:t>
      </w:r>
      <w:r w:rsidR="00C00209" w:rsidRPr="005B379F">
        <w:rPr>
          <w:rFonts w:ascii="Arial" w:hAnsi="Arial" w:cs="Arial"/>
          <w:color w:val="000000" w:themeColor="text1"/>
        </w:rPr>
        <w:t xml:space="preserve"> Substance Declaration Worksh</w:t>
      </w:r>
      <w:r w:rsidR="00C00209" w:rsidRPr="00EF11F7">
        <w:rPr>
          <w:rFonts w:ascii="Arial" w:hAnsi="Arial" w:cs="Arial"/>
          <w:color w:val="000000" w:themeColor="text1"/>
        </w:rPr>
        <w:t>eet</w:t>
      </w:r>
      <w:r w:rsidR="007A77FC" w:rsidRPr="00EF11F7">
        <w:rPr>
          <w:rFonts w:ascii="Arial" w:hAnsi="Arial" w:cs="Arial"/>
          <w:color w:val="000000" w:themeColor="text1"/>
        </w:rPr>
        <w:t xml:space="preserve"> and confirmed to be compliant</w:t>
      </w:r>
      <w:r w:rsidR="00860AF0" w:rsidRPr="00EF11F7">
        <w:rPr>
          <w:rFonts w:ascii="Arial" w:hAnsi="Arial" w:cs="Arial"/>
          <w:color w:val="000000" w:themeColor="text1"/>
        </w:rPr>
        <w:t xml:space="preserve"> by the provider</w:t>
      </w:r>
      <w:r w:rsidR="00A31E55" w:rsidRPr="00EF11F7">
        <w:rPr>
          <w:rFonts w:ascii="Arial" w:hAnsi="Arial" w:cs="Arial"/>
          <w:color w:val="000000" w:themeColor="text1"/>
        </w:rPr>
        <w:t>.</w:t>
      </w:r>
    </w:p>
    <w:p w14:paraId="3208C510" w14:textId="167AFC01" w:rsidR="00EB1407" w:rsidRPr="00182A7B" w:rsidRDefault="00EB1407" w:rsidP="00C00209">
      <w:pPr>
        <w:pStyle w:val="BodyText"/>
        <w:numPr>
          <w:ilvl w:val="0"/>
          <w:numId w:val="27"/>
        </w:numPr>
        <w:spacing w:line="276" w:lineRule="auto"/>
        <w:jc w:val="left"/>
        <w:rPr>
          <w:rFonts w:ascii="Arial" w:hAnsi="Arial" w:cs="Arial"/>
          <w:color w:val="000000" w:themeColor="text1"/>
        </w:rPr>
      </w:pPr>
      <w:r w:rsidRPr="00182A7B">
        <w:rPr>
          <w:rFonts w:ascii="Arial" w:hAnsi="Arial" w:cs="Arial"/>
          <w:color w:val="000000" w:themeColor="text1"/>
        </w:rPr>
        <w:t>Return the completed information to X-Rite NPI/Purchasing prior to shipment authorization.</w:t>
      </w:r>
    </w:p>
    <w:p w14:paraId="01C37407" w14:textId="42DE72FD" w:rsidR="001C2EEE" w:rsidRPr="00182A7B" w:rsidRDefault="001C2EEE" w:rsidP="001C2EEE">
      <w:pPr>
        <w:pStyle w:val="BodyText"/>
        <w:numPr>
          <w:ilvl w:val="0"/>
          <w:numId w:val="27"/>
        </w:numPr>
        <w:spacing w:line="276" w:lineRule="auto"/>
        <w:ind w:right="720"/>
        <w:jc w:val="left"/>
        <w:rPr>
          <w:rFonts w:ascii="Arial" w:hAnsi="Arial" w:cs="Arial"/>
          <w:color w:val="000000" w:themeColor="text1"/>
        </w:rPr>
      </w:pPr>
      <w:r w:rsidRPr="00182A7B">
        <w:rPr>
          <w:rFonts w:ascii="Arial" w:hAnsi="Arial" w:cs="Arial"/>
          <w:color w:val="000000" w:themeColor="text1"/>
        </w:rPr>
        <w:t>Be sure to update and re-submit the Substance</w:t>
      </w:r>
      <w:r w:rsidR="003F6F52" w:rsidRPr="00182A7B">
        <w:rPr>
          <w:rFonts w:ascii="Arial" w:hAnsi="Arial" w:cs="Arial"/>
          <w:color w:val="000000" w:themeColor="text1"/>
        </w:rPr>
        <w:t xml:space="preserve"> Declaration Worksheet whenever:</w:t>
      </w:r>
    </w:p>
    <w:p w14:paraId="48650CB8" w14:textId="3B8CD822" w:rsidR="007575EB" w:rsidRPr="007575EB" w:rsidRDefault="00E7421D" w:rsidP="007575EB">
      <w:pPr>
        <w:pStyle w:val="BodyText"/>
        <w:numPr>
          <w:ilvl w:val="1"/>
          <w:numId w:val="27"/>
        </w:numPr>
        <w:spacing w:line="276" w:lineRule="auto"/>
        <w:ind w:right="720"/>
        <w:jc w:val="left"/>
        <w:rPr>
          <w:rFonts w:ascii="Arial" w:hAnsi="Arial" w:cs="Arial"/>
        </w:rPr>
      </w:pPr>
      <w:r>
        <w:rPr>
          <w:rFonts w:ascii="Arial" w:hAnsi="Arial" w:cs="Arial"/>
          <w:color w:val="000000" w:themeColor="text1"/>
        </w:rPr>
        <w:t>Part or material</w:t>
      </w:r>
      <w:r w:rsidR="001C2EEE" w:rsidRPr="00182A7B">
        <w:rPr>
          <w:rFonts w:ascii="Arial" w:hAnsi="Arial" w:cs="Arial"/>
          <w:color w:val="000000" w:themeColor="text1"/>
        </w:rPr>
        <w:t xml:space="preserve"> changes occur</w:t>
      </w:r>
      <w:r w:rsidR="007575EB" w:rsidRPr="00182A7B">
        <w:rPr>
          <w:rFonts w:ascii="Arial" w:hAnsi="Arial" w:cs="Arial"/>
          <w:color w:val="000000" w:themeColor="text1"/>
        </w:rPr>
        <w:t xml:space="preserve"> (Note: changing to a</w:t>
      </w:r>
      <w:r>
        <w:rPr>
          <w:rFonts w:ascii="Arial" w:hAnsi="Arial" w:cs="Arial"/>
          <w:color w:val="000000" w:themeColor="text1"/>
        </w:rPr>
        <w:t xml:space="preserve"> less compliant part or material</w:t>
      </w:r>
      <w:r w:rsidR="007575EB" w:rsidRPr="00182A7B">
        <w:rPr>
          <w:rFonts w:ascii="Arial" w:hAnsi="Arial" w:cs="Arial"/>
          <w:color w:val="000000" w:themeColor="text1"/>
        </w:rPr>
        <w:t xml:space="preserve"> is prohibited</w:t>
      </w:r>
      <w:r w:rsidR="00CC6089" w:rsidRPr="00182A7B">
        <w:rPr>
          <w:rFonts w:ascii="Arial" w:hAnsi="Arial" w:cs="Arial"/>
          <w:color w:val="000000" w:themeColor="text1"/>
        </w:rPr>
        <w:t xml:space="preserve"> without pre-</w:t>
      </w:r>
      <w:r w:rsidR="00CC6089">
        <w:rPr>
          <w:rFonts w:ascii="Arial" w:hAnsi="Arial" w:cs="Arial"/>
        </w:rPr>
        <w:t>approval by X-Rite</w:t>
      </w:r>
      <w:r w:rsidR="007575EB">
        <w:rPr>
          <w:rFonts w:ascii="Arial" w:hAnsi="Arial" w:cs="Arial"/>
        </w:rPr>
        <w:t>)</w:t>
      </w:r>
    </w:p>
    <w:p w14:paraId="01C37409" w14:textId="77777777" w:rsidR="001C2EEE" w:rsidRDefault="001C2EEE" w:rsidP="001C2EEE">
      <w:pPr>
        <w:pStyle w:val="BodyText"/>
        <w:numPr>
          <w:ilvl w:val="1"/>
          <w:numId w:val="27"/>
        </w:numPr>
        <w:spacing w:line="276" w:lineRule="auto"/>
        <w:ind w:right="720"/>
        <w:jc w:val="left"/>
        <w:rPr>
          <w:rFonts w:ascii="Arial" w:hAnsi="Arial" w:cs="Arial"/>
        </w:rPr>
      </w:pPr>
      <w:r>
        <w:rPr>
          <w:rFonts w:ascii="Arial" w:hAnsi="Arial" w:cs="Arial"/>
        </w:rPr>
        <w:t>When new substanc</w:t>
      </w:r>
      <w:r w:rsidR="00A765DD">
        <w:rPr>
          <w:rFonts w:ascii="Arial" w:hAnsi="Arial" w:cs="Arial"/>
        </w:rPr>
        <w:t>e information becomes</w:t>
      </w:r>
      <w:r>
        <w:rPr>
          <w:rFonts w:ascii="Arial" w:hAnsi="Arial" w:cs="Arial"/>
        </w:rPr>
        <w:t xml:space="preserve"> available</w:t>
      </w:r>
    </w:p>
    <w:p w14:paraId="01C3740A" w14:textId="77777777" w:rsidR="001C2EEE" w:rsidRDefault="001C2EEE" w:rsidP="001C2EEE">
      <w:pPr>
        <w:pStyle w:val="BodyText"/>
        <w:numPr>
          <w:ilvl w:val="1"/>
          <w:numId w:val="27"/>
        </w:numPr>
        <w:spacing w:line="276" w:lineRule="auto"/>
        <w:ind w:right="720"/>
        <w:jc w:val="left"/>
        <w:rPr>
          <w:rFonts w:ascii="Arial" w:hAnsi="Arial" w:cs="Arial"/>
        </w:rPr>
      </w:pPr>
      <w:r>
        <w:rPr>
          <w:rFonts w:ascii="Arial" w:hAnsi="Arial" w:cs="Arial"/>
        </w:rPr>
        <w:t>When a new GPCSE revision requires new information</w:t>
      </w:r>
    </w:p>
    <w:p w14:paraId="45E6E539" w14:textId="7524ECBA" w:rsidR="00FB75FD" w:rsidRDefault="00FB75FD" w:rsidP="001C2EEE">
      <w:pPr>
        <w:pStyle w:val="BodyText"/>
        <w:numPr>
          <w:ilvl w:val="1"/>
          <w:numId w:val="27"/>
        </w:numPr>
        <w:spacing w:line="276" w:lineRule="auto"/>
        <w:ind w:right="720"/>
        <w:jc w:val="left"/>
        <w:rPr>
          <w:rFonts w:ascii="Arial" w:hAnsi="Arial" w:cs="Arial"/>
        </w:rPr>
      </w:pPr>
      <w:r>
        <w:rPr>
          <w:rFonts w:ascii="Arial" w:hAnsi="Arial" w:cs="Arial"/>
        </w:rPr>
        <w:t xml:space="preserve">When a </w:t>
      </w:r>
      <w:r w:rsidR="00106A19">
        <w:rPr>
          <w:rFonts w:ascii="Arial" w:hAnsi="Arial" w:cs="Arial"/>
        </w:rPr>
        <w:t xml:space="preserve">new </w:t>
      </w:r>
      <w:r>
        <w:rPr>
          <w:rFonts w:ascii="Arial" w:hAnsi="Arial" w:cs="Arial"/>
        </w:rPr>
        <w:t xml:space="preserve">regulation </w:t>
      </w:r>
      <w:r w:rsidR="00106A19">
        <w:rPr>
          <w:rFonts w:ascii="Arial" w:hAnsi="Arial" w:cs="Arial"/>
        </w:rPr>
        <w:t>or revision</w:t>
      </w:r>
      <w:r>
        <w:rPr>
          <w:rFonts w:ascii="Arial" w:hAnsi="Arial" w:cs="Arial"/>
        </w:rPr>
        <w:t xml:space="preserve"> </w:t>
      </w:r>
      <w:r w:rsidR="00106A19" w:rsidRPr="00106A19">
        <w:rPr>
          <w:rFonts w:ascii="Arial" w:hAnsi="Arial" w:cs="Arial"/>
        </w:rPr>
        <w:t>requires new information</w:t>
      </w:r>
    </w:p>
    <w:p w14:paraId="01C3740B" w14:textId="63A3E2B1" w:rsidR="00F4228D" w:rsidRDefault="00F4228D" w:rsidP="00F4228D">
      <w:pPr>
        <w:pStyle w:val="BodyText"/>
        <w:numPr>
          <w:ilvl w:val="0"/>
          <w:numId w:val="27"/>
        </w:numPr>
        <w:spacing w:line="276" w:lineRule="auto"/>
        <w:ind w:right="720"/>
        <w:jc w:val="left"/>
        <w:rPr>
          <w:rFonts w:ascii="Arial" w:hAnsi="Arial" w:cs="Arial"/>
        </w:rPr>
      </w:pPr>
      <w:r>
        <w:rPr>
          <w:rFonts w:ascii="Arial" w:hAnsi="Arial" w:cs="Arial"/>
        </w:rPr>
        <w:t>Any non-compliance to GPCSE req</w:t>
      </w:r>
      <w:r w:rsidR="00E7421D">
        <w:rPr>
          <w:rFonts w:ascii="Arial" w:hAnsi="Arial" w:cs="Arial"/>
        </w:rPr>
        <w:t>uirements may result in the part or material</w:t>
      </w:r>
      <w:r>
        <w:rPr>
          <w:rFonts w:ascii="Arial" w:hAnsi="Arial" w:cs="Arial"/>
        </w:rPr>
        <w:t xml:space="preserve"> being</w:t>
      </w:r>
      <w:r w:rsidR="00CE28B9">
        <w:rPr>
          <w:rFonts w:ascii="Arial" w:hAnsi="Arial" w:cs="Arial"/>
        </w:rPr>
        <w:t xml:space="preserve"> deemed unfit for use by X-Rite. </w:t>
      </w:r>
    </w:p>
    <w:p w14:paraId="01C3740C" w14:textId="77777777" w:rsidR="00862B2B" w:rsidRDefault="00862B2B" w:rsidP="002B2BAD">
      <w:pPr>
        <w:pStyle w:val="BodyText"/>
        <w:spacing w:line="276" w:lineRule="auto"/>
        <w:ind w:left="720" w:right="720"/>
        <w:jc w:val="left"/>
        <w:rPr>
          <w:rFonts w:ascii="Arial" w:hAnsi="Arial" w:cs="Arial"/>
        </w:rPr>
      </w:pPr>
    </w:p>
    <w:p w14:paraId="01C3740D" w14:textId="77777777" w:rsidR="00954EF6" w:rsidRDefault="00954EF6">
      <w:pPr>
        <w:sectPr w:rsidR="00954EF6" w:rsidSect="004F643C">
          <w:headerReference w:type="default" r:id="rId13"/>
          <w:footerReference w:type="default" r:id="rId14"/>
          <w:pgSz w:w="12240" w:h="15840"/>
          <w:pgMar w:top="1584" w:right="1440" w:bottom="1440" w:left="1440" w:header="720" w:footer="720" w:gutter="0"/>
          <w:cols w:space="720"/>
          <w:docGrid w:linePitch="360"/>
        </w:sectPr>
      </w:pPr>
    </w:p>
    <w:p w14:paraId="01C3740E" w14:textId="4E809319" w:rsidR="00954EF6" w:rsidRPr="00EF11F7" w:rsidRDefault="00954EF6" w:rsidP="004E2686">
      <w:pPr>
        <w:pStyle w:val="Heading1"/>
        <w:spacing w:before="0" w:after="60"/>
        <w:jc w:val="center"/>
        <w:rPr>
          <w:rFonts w:ascii="Arial" w:hAnsi="Arial" w:cs="Arial"/>
          <w:b w:val="0"/>
          <w:color w:val="000000" w:themeColor="text1"/>
          <w:sz w:val="22"/>
        </w:rPr>
      </w:pPr>
      <w:bookmarkStart w:id="6" w:name="_Toc450317810"/>
      <w:r w:rsidRPr="00710C5E">
        <w:rPr>
          <w:rFonts w:ascii="Arial" w:hAnsi="Arial" w:cs="Arial"/>
          <w:b w:val="0"/>
          <w:color w:val="000000" w:themeColor="text1"/>
          <w:sz w:val="22"/>
        </w:rPr>
        <w:lastRenderedPageBreak/>
        <w:t>Substance Declaration Worksheet</w:t>
      </w:r>
      <w:bookmarkEnd w:id="6"/>
      <w:r w:rsidR="00851A55" w:rsidRPr="00710C5E">
        <w:rPr>
          <w:rFonts w:ascii="Arial" w:hAnsi="Arial" w:cs="Arial"/>
          <w:b w:val="0"/>
          <w:color w:val="000000" w:themeColor="text1"/>
          <w:sz w:val="22"/>
        </w:rPr>
        <w:t xml:space="preserve"> for GPCSE Re</w:t>
      </w:r>
      <w:r w:rsidR="00851A55" w:rsidRPr="00676A53">
        <w:rPr>
          <w:rFonts w:ascii="Arial" w:hAnsi="Arial" w:cs="Arial"/>
          <w:b w:val="0"/>
          <w:color w:val="000000" w:themeColor="text1"/>
          <w:sz w:val="22"/>
        </w:rPr>
        <w:t>v</w:t>
      </w:r>
      <w:r w:rsidR="00851A55" w:rsidRPr="00EF11F7">
        <w:rPr>
          <w:rFonts w:ascii="Arial" w:hAnsi="Arial" w:cs="Arial"/>
          <w:b w:val="0"/>
          <w:color w:val="000000" w:themeColor="text1"/>
          <w:sz w:val="22"/>
        </w:rPr>
        <w:t xml:space="preserve">ision </w:t>
      </w:r>
      <w:r w:rsidR="00C43406">
        <w:rPr>
          <w:rFonts w:ascii="Arial" w:hAnsi="Arial" w:cs="Arial"/>
          <w:b w:val="0"/>
          <w:color w:val="000000" w:themeColor="text1"/>
          <w:sz w:val="22"/>
        </w:rPr>
        <w:t>A</w:t>
      </w:r>
      <w:r w:rsidR="007B7E86">
        <w:rPr>
          <w:rFonts w:ascii="Arial" w:hAnsi="Arial" w:cs="Arial"/>
          <w:b w:val="0"/>
          <w:color w:val="000000" w:themeColor="text1"/>
          <w:sz w:val="22"/>
        </w:rPr>
        <w:t>C</w:t>
      </w:r>
      <w:r w:rsidR="002709C2" w:rsidRPr="00EF11F7">
        <w:rPr>
          <w:rFonts w:ascii="Arial" w:hAnsi="Arial" w:cs="Arial"/>
          <w:b w:val="0"/>
          <w:color w:val="000000" w:themeColor="text1"/>
          <w:sz w:val="22"/>
        </w:rPr>
        <w:t xml:space="preserve">. </w:t>
      </w:r>
    </w:p>
    <w:tbl>
      <w:tblPr>
        <w:tblStyle w:val="TableGrid"/>
        <w:tblW w:w="0" w:type="auto"/>
        <w:tblLook w:val="04A0" w:firstRow="1" w:lastRow="0" w:firstColumn="1" w:lastColumn="0" w:noHBand="0" w:noVBand="1"/>
      </w:tblPr>
      <w:tblGrid>
        <w:gridCol w:w="5942"/>
        <w:gridCol w:w="533"/>
        <w:gridCol w:w="6475"/>
      </w:tblGrid>
      <w:tr w:rsidR="00954EF6" w:rsidRPr="000A7A3D" w14:paraId="01C37412" w14:textId="77777777" w:rsidTr="00706AF1">
        <w:tc>
          <w:tcPr>
            <w:tcW w:w="6048" w:type="dxa"/>
            <w:shd w:val="clear" w:color="auto" w:fill="DBE5F1" w:themeFill="accent1" w:themeFillTint="33"/>
          </w:tcPr>
          <w:p w14:paraId="01C3740F" w14:textId="77777777" w:rsidR="00954EF6" w:rsidRPr="000A7A3D" w:rsidRDefault="00954EF6" w:rsidP="00723918">
            <w:pPr>
              <w:jc w:val="center"/>
              <w:rPr>
                <w:color w:val="000000" w:themeColor="text1"/>
                <w:sz w:val="20"/>
              </w:rPr>
            </w:pPr>
            <w:r w:rsidRPr="000A7A3D">
              <w:rPr>
                <w:color w:val="000000" w:themeColor="text1"/>
                <w:sz w:val="20"/>
              </w:rPr>
              <w:t>Provider Contact Information</w:t>
            </w:r>
          </w:p>
        </w:tc>
        <w:tc>
          <w:tcPr>
            <w:tcW w:w="540" w:type="dxa"/>
            <w:tcBorders>
              <w:top w:val="nil"/>
              <w:bottom w:val="nil"/>
            </w:tcBorders>
          </w:tcPr>
          <w:p w14:paraId="01C37410" w14:textId="77777777" w:rsidR="00954EF6" w:rsidRPr="000A7A3D" w:rsidRDefault="00954EF6" w:rsidP="00723918">
            <w:pPr>
              <w:rPr>
                <w:color w:val="000000" w:themeColor="text1"/>
                <w:sz w:val="20"/>
              </w:rPr>
            </w:pPr>
          </w:p>
        </w:tc>
        <w:tc>
          <w:tcPr>
            <w:tcW w:w="6588" w:type="dxa"/>
            <w:vMerge w:val="restart"/>
          </w:tcPr>
          <w:p w14:paraId="01C37411" w14:textId="77777777" w:rsidR="00954EF6" w:rsidRPr="000A7A3D" w:rsidRDefault="00954EF6" w:rsidP="00723918">
            <w:pPr>
              <w:rPr>
                <w:color w:val="000000" w:themeColor="text1"/>
                <w:sz w:val="20"/>
              </w:rPr>
            </w:pPr>
            <w:r w:rsidRPr="000A7A3D">
              <w:rPr>
                <w:color w:val="000000" w:themeColor="text1"/>
                <w:sz w:val="20"/>
              </w:rPr>
              <w:t>Provider authorized representative (please print name):</w:t>
            </w:r>
          </w:p>
        </w:tc>
      </w:tr>
      <w:tr w:rsidR="00954EF6" w:rsidRPr="00706AF1" w14:paraId="01C37417" w14:textId="77777777" w:rsidTr="00723918">
        <w:tc>
          <w:tcPr>
            <w:tcW w:w="6048" w:type="dxa"/>
          </w:tcPr>
          <w:p w14:paraId="01C37413" w14:textId="77777777" w:rsidR="00954EF6" w:rsidRPr="00965E67" w:rsidRDefault="00954EF6" w:rsidP="00723918">
            <w:pPr>
              <w:rPr>
                <w:color w:val="000000" w:themeColor="text1"/>
                <w:sz w:val="20"/>
              </w:rPr>
            </w:pPr>
            <w:r w:rsidRPr="00965E67">
              <w:rPr>
                <w:color w:val="000000" w:themeColor="text1"/>
                <w:sz w:val="20"/>
              </w:rPr>
              <w:t>Company Name:</w:t>
            </w:r>
          </w:p>
          <w:p w14:paraId="01C37414" w14:textId="77777777" w:rsidR="00954EF6" w:rsidRPr="000A7A3D" w:rsidRDefault="00954EF6" w:rsidP="00723918">
            <w:pPr>
              <w:rPr>
                <w:color w:val="1F497D" w:themeColor="text2"/>
                <w:sz w:val="20"/>
              </w:rPr>
            </w:pPr>
          </w:p>
        </w:tc>
        <w:tc>
          <w:tcPr>
            <w:tcW w:w="540" w:type="dxa"/>
            <w:tcBorders>
              <w:top w:val="nil"/>
              <w:bottom w:val="nil"/>
            </w:tcBorders>
          </w:tcPr>
          <w:p w14:paraId="01C37415" w14:textId="77777777" w:rsidR="00954EF6" w:rsidRPr="00706AF1" w:rsidRDefault="00954EF6" w:rsidP="00723918">
            <w:pPr>
              <w:rPr>
                <w:color w:val="000000" w:themeColor="text1"/>
                <w:sz w:val="20"/>
              </w:rPr>
            </w:pPr>
          </w:p>
        </w:tc>
        <w:tc>
          <w:tcPr>
            <w:tcW w:w="6588" w:type="dxa"/>
            <w:vMerge/>
          </w:tcPr>
          <w:p w14:paraId="01C37416" w14:textId="77777777" w:rsidR="00954EF6" w:rsidRPr="00706AF1" w:rsidRDefault="00954EF6" w:rsidP="00723918">
            <w:pPr>
              <w:rPr>
                <w:color w:val="000000" w:themeColor="text1"/>
                <w:sz w:val="20"/>
              </w:rPr>
            </w:pPr>
          </w:p>
        </w:tc>
      </w:tr>
      <w:tr w:rsidR="00954EF6" w:rsidRPr="00706AF1" w14:paraId="01C3741C" w14:textId="77777777" w:rsidTr="00723918">
        <w:tc>
          <w:tcPr>
            <w:tcW w:w="6048" w:type="dxa"/>
          </w:tcPr>
          <w:p w14:paraId="01C37418" w14:textId="77777777" w:rsidR="00954EF6" w:rsidRPr="00706AF1" w:rsidRDefault="00954EF6" w:rsidP="00723918">
            <w:pPr>
              <w:rPr>
                <w:color w:val="000000" w:themeColor="text1"/>
                <w:sz w:val="20"/>
              </w:rPr>
            </w:pPr>
            <w:r w:rsidRPr="00706AF1">
              <w:rPr>
                <w:color w:val="000000" w:themeColor="text1"/>
                <w:sz w:val="20"/>
              </w:rPr>
              <w:t>Address:</w:t>
            </w:r>
          </w:p>
          <w:p w14:paraId="01C37419" w14:textId="77777777" w:rsidR="00954EF6" w:rsidRPr="00706AF1" w:rsidRDefault="00954EF6" w:rsidP="00723918">
            <w:pPr>
              <w:rPr>
                <w:color w:val="000000" w:themeColor="text1"/>
                <w:sz w:val="20"/>
              </w:rPr>
            </w:pPr>
          </w:p>
        </w:tc>
        <w:tc>
          <w:tcPr>
            <w:tcW w:w="540" w:type="dxa"/>
            <w:tcBorders>
              <w:top w:val="nil"/>
              <w:bottom w:val="nil"/>
            </w:tcBorders>
          </w:tcPr>
          <w:p w14:paraId="01C3741A" w14:textId="77777777" w:rsidR="00954EF6" w:rsidRPr="00706AF1" w:rsidRDefault="00954EF6" w:rsidP="00723918">
            <w:pPr>
              <w:rPr>
                <w:color w:val="000000" w:themeColor="text1"/>
                <w:sz w:val="20"/>
              </w:rPr>
            </w:pPr>
          </w:p>
        </w:tc>
        <w:tc>
          <w:tcPr>
            <w:tcW w:w="6588" w:type="dxa"/>
            <w:vMerge w:val="restart"/>
          </w:tcPr>
          <w:p w14:paraId="01C3741B" w14:textId="77777777" w:rsidR="00954EF6" w:rsidRPr="00706AF1" w:rsidRDefault="00954EF6" w:rsidP="00723918">
            <w:pPr>
              <w:rPr>
                <w:color w:val="000000" w:themeColor="text1"/>
                <w:sz w:val="20"/>
              </w:rPr>
            </w:pPr>
            <w:r w:rsidRPr="00706AF1">
              <w:rPr>
                <w:color w:val="000000" w:themeColor="text1"/>
                <w:sz w:val="20"/>
              </w:rPr>
              <w:t>Provider authorized representative signature</w:t>
            </w:r>
            <w:r w:rsidR="00EB31FD" w:rsidRPr="00706AF1">
              <w:rPr>
                <w:color w:val="000000" w:themeColor="text1"/>
                <w:sz w:val="20"/>
              </w:rPr>
              <w:t xml:space="preserve"> </w:t>
            </w:r>
            <w:r w:rsidR="00EB31FD" w:rsidRPr="00706AF1">
              <w:rPr>
                <w:color w:val="000000" w:themeColor="text1"/>
                <w:sz w:val="16"/>
              </w:rPr>
              <w:t>(attesting to the completeness and accuracy of the information to the best of your knowledge)</w:t>
            </w:r>
            <w:r w:rsidRPr="00706AF1">
              <w:rPr>
                <w:color w:val="000000" w:themeColor="text1"/>
                <w:sz w:val="20"/>
              </w:rPr>
              <w:t>:</w:t>
            </w:r>
          </w:p>
        </w:tc>
      </w:tr>
      <w:tr w:rsidR="00954EF6" w:rsidRPr="00706AF1" w14:paraId="01C37421" w14:textId="77777777" w:rsidTr="00723918">
        <w:tc>
          <w:tcPr>
            <w:tcW w:w="6048" w:type="dxa"/>
          </w:tcPr>
          <w:p w14:paraId="01C3741D" w14:textId="77777777" w:rsidR="00954EF6" w:rsidRPr="00706AF1" w:rsidRDefault="00954EF6" w:rsidP="00723918">
            <w:pPr>
              <w:rPr>
                <w:color w:val="000000" w:themeColor="text1"/>
                <w:sz w:val="20"/>
              </w:rPr>
            </w:pPr>
            <w:r w:rsidRPr="00706AF1">
              <w:rPr>
                <w:color w:val="000000" w:themeColor="text1"/>
                <w:sz w:val="20"/>
              </w:rPr>
              <w:t>Telephone:</w:t>
            </w:r>
          </w:p>
          <w:p w14:paraId="01C3741E" w14:textId="77777777" w:rsidR="00954EF6" w:rsidRPr="00706AF1" w:rsidRDefault="00954EF6" w:rsidP="00723918">
            <w:pPr>
              <w:rPr>
                <w:color w:val="000000" w:themeColor="text1"/>
                <w:sz w:val="20"/>
              </w:rPr>
            </w:pPr>
          </w:p>
        </w:tc>
        <w:tc>
          <w:tcPr>
            <w:tcW w:w="540" w:type="dxa"/>
            <w:tcBorders>
              <w:top w:val="nil"/>
              <w:bottom w:val="nil"/>
            </w:tcBorders>
          </w:tcPr>
          <w:p w14:paraId="01C3741F" w14:textId="77777777" w:rsidR="00954EF6" w:rsidRPr="00706AF1" w:rsidRDefault="00954EF6" w:rsidP="00723918">
            <w:pPr>
              <w:rPr>
                <w:color w:val="000000" w:themeColor="text1"/>
                <w:sz w:val="20"/>
              </w:rPr>
            </w:pPr>
          </w:p>
        </w:tc>
        <w:tc>
          <w:tcPr>
            <w:tcW w:w="6588" w:type="dxa"/>
            <w:vMerge/>
          </w:tcPr>
          <w:p w14:paraId="01C37420" w14:textId="77777777" w:rsidR="00954EF6" w:rsidRPr="00706AF1" w:rsidRDefault="00954EF6" w:rsidP="00723918">
            <w:pPr>
              <w:rPr>
                <w:color w:val="000000" w:themeColor="text1"/>
                <w:sz w:val="20"/>
              </w:rPr>
            </w:pPr>
          </w:p>
        </w:tc>
      </w:tr>
      <w:tr w:rsidR="00954EF6" w:rsidRPr="00706AF1" w14:paraId="01C37426" w14:textId="77777777" w:rsidTr="00723918">
        <w:tc>
          <w:tcPr>
            <w:tcW w:w="6048" w:type="dxa"/>
          </w:tcPr>
          <w:p w14:paraId="01C37422" w14:textId="77777777" w:rsidR="00954EF6" w:rsidRPr="00706AF1" w:rsidRDefault="00954EF6" w:rsidP="00723918">
            <w:pPr>
              <w:rPr>
                <w:color w:val="000000" w:themeColor="text1"/>
                <w:sz w:val="20"/>
              </w:rPr>
            </w:pPr>
            <w:r w:rsidRPr="00706AF1">
              <w:rPr>
                <w:color w:val="000000" w:themeColor="text1"/>
                <w:sz w:val="20"/>
              </w:rPr>
              <w:t>Email:</w:t>
            </w:r>
          </w:p>
          <w:p w14:paraId="01C37423" w14:textId="77777777" w:rsidR="00954EF6" w:rsidRPr="00706AF1" w:rsidRDefault="00954EF6" w:rsidP="00723918">
            <w:pPr>
              <w:rPr>
                <w:color w:val="000000" w:themeColor="text1"/>
                <w:sz w:val="20"/>
              </w:rPr>
            </w:pPr>
          </w:p>
        </w:tc>
        <w:tc>
          <w:tcPr>
            <w:tcW w:w="540" w:type="dxa"/>
            <w:tcBorders>
              <w:top w:val="nil"/>
              <w:bottom w:val="nil"/>
            </w:tcBorders>
          </w:tcPr>
          <w:p w14:paraId="01C37424" w14:textId="77777777" w:rsidR="00954EF6" w:rsidRPr="00706AF1" w:rsidRDefault="00954EF6" w:rsidP="00723918">
            <w:pPr>
              <w:rPr>
                <w:color w:val="000000" w:themeColor="text1"/>
                <w:sz w:val="20"/>
              </w:rPr>
            </w:pPr>
          </w:p>
        </w:tc>
        <w:tc>
          <w:tcPr>
            <w:tcW w:w="6588" w:type="dxa"/>
          </w:tcPr>
          <w:p w14:paraId="01C37425" w14:textId="77777777" w:rsidR="00954EF6" w:rsidRPr="00706AF1" w:rsidRDefault="00954EF6" w:rsidP="00723918">
            <w:pPr>
              <w:rPr>
                <w:color w:val="000000" w:themeColor="text1"/>
                <w:sz w:val="20"/>
              </w:rPr>
            </w:pPr>
            <w:r w:rsidRPr="00706AF1">
              <w:rPr>
                <w:color w:val="000000" w:themeColor="text1"/>
                <w:sz w:val="20"/>
              </w:rPr>
              <w:t>Date:</w:t>
            </w:r>
          </w:p>
        </w:tc>
      </w:tr>
    </w:tbl>
    <w:p w14:paraId="01C37427" w14:textId="77777777" w:rsidR="00954EF6" w:rsidRPr="001F46F1" w:rsidRDefault="00954EF6" w:rsidP="006A5321">
      <w:pPr>
        <w:spacing w:before="60" w:after="60"/>
        <w:rPr>
          <w:sz w:val="20"/>
        </w:rPr>
      </w:pPr>
      <w:r w:rsidRPr="001F46F1">
        <w:rPr>
          <w:sz w:val="20"/>
        </w:rPr>
        <w:t xml:space="preserve">Please see instruction sheet for completing and maintaining this </w:t>
      </w:r>
      <w:r w:rsidR="009558F8">
        <w:rPr>
          <w:sz w:val="20"/>
        </w:rPr>
        <w:t>Substance Declaration W</w:t>
      </w:r>
      <w:r w:rsidRPr="001F46F1">
        <w:rPr>
          <w:sz w:val="20"/>
        </w:rPr>
        <w:t>orksheet.</w:t>
      </w:r>
    </w:p>
    <w:tbl>
      <w:tblPr>
        <w:tblStyle w:val="TableGrid"/>
        <w:tblW w:w="13158" w:type="dxa"/>
        <w:tblLayout w:type="fixed"/>
        <w:tblLook w:val="04A0" w:firstRow="1" w:lastRow="0" w:firstColumn="1" w:lastColumn="0" w:noHBand="0" w:noVBand="1"/>
      </w:tblPr>
      <w:tblGrid>
        <w:gridCol w:w="1982"/>
        <w:gridCol w:w="2536"/>
        <w:gridCol w:w="863"/>
        <w:gridCol w:w="1027"/>
        <w:gridCol w:w="1170"/>
        <w:gridCol w:w="1080"/>
        <w:gridCol w:w="3783"/>
        <w:gridCol w:w="717"/>
      </w:tblGrid>
      <w:tr w:rsidR="00C84527" w:rsidRPr="005E4993" w14:paraId="01C37434" w14:textId="77777777" w:rsidTr="00030736">
        <w:trPr>
          <w:trHeight w:val="548"/>
        </w:trPr>
        <w:tc>
          <w:tcPr>
            <w:tcW w:w="1982" w:type="dxa"/>
            <w:tcBorders>
              <w:top w:val="single" w:sz="12" w:space="0" w:color="auto"/>
              <w:left w:val="single" w:sz="12" w:space="0" w:color="000000" w:themeColor="text1"/>
              <w:bottom w:val="dashed" w:sz="4" w:space="0" w:color="auto"/>
            </w:tcBorders>
            <w:shd w:val="clear" w:color="auto" w:fill="DBE5F1" w:themeFill="accent1" w:themeFillTint="33"/>
            <w:vAlign w:val="center"/>
          </w:tcPr>
          <w:p w14:paraId="01C37428" w14:textId="77777777" w:rsidR="00A60A00" w:rsidRPr="002B4E56" w:rsidRDefault="00A60A00" w:rsidP="00723918">
            <w:pPr>
              <w:jc w:val="center"/>
              <w:rPr>
                <w:sz w:val="14"/>
                <w:szCs w:val="14"/>
              </w:rPr>
            </w:pPr>
            <w:r w:rsidRPr="002B4E56">
              <w:rPr>
                <w:rFonts w:eastAsia="Times New Roman"/>
                <w:sz w:val="14"/>
                <w:szCs w:val="14"/>
              </w:rPr>
              <w:t>X-Rite Part Number</w:t>
            </w:r>
          </w:p>
        </w:tc>
        <w:tc>
          <w:tcPr>
            <w:tcW w:w="2536" w:type="dxa"/>
            <w:vMerge w:val="restart"/>
            <w:tcBorders>
              <w:top w:val="single" w:sz="12" w:space="0" w:color="auto"/>
            </w:tcBorders>
            <w:shd w:val="clear" w:color="auto" w:fill="DBE5F1" w:themeFill="accent1" w:themeFillTint="33"/>
            <w:vAlign w:val="center"/>
          </w:tcPr>
          <w:p w14:paraId="01C37429" w14:textId="77777777" w:rsidR="00A60A00" w:rsidRPr="002B4E56" w:rsidRDefault="00A60A00" w:rsidP="00723918">
            <w:pPr>
              <w:jc w:val="center"/>
              <w:rPr>
                <w:sz w:val="14"/>
                <w:szCs w:val="14"/>
              </w:rPr>
            </w:pPr>
            <w:r w:rsidRPr="002B4E56">
              <w:rPr>
                <w:rFonts w:eastAsia="Times New Roman"/>
                <w:sz w:val="14"/>
                <w:szCs w:val="14"/>
              </w:rPr>
              <w:t>Part or Material Description</w:t>
            </w:r>
          </w:p>
        </w:tc>
        <w:tc>
          <w:tcPr>
            <w:tcW w:w="863" w:type="dxa"/>
            <w:vMerge w:val="restart"/>
            <w:tcBorders>
              <w:top w:val="single" w:sz="12" w:space="0" w:color="auto"/>
            </w:tcBorders>
            <w:shd w:val="clear" w:color="auto" w:fill="DBE5F1" w:themeFill="accent1" w:themeFillTint="33"/>
            <w:vAlign w:val="center"/>
          </w:tcPr>
          <w:p w14:paraId="01C3742A" w14:textId="77777777" w:rsidR="00A60A00" w:rsidRPr="002B4E56" w:rsidRDefault="00A60A00" w:rsidP="00A60A00">
            <w:pPr>
              <w:spacing w:before="120"/>
              <w:jc w:val="center"/>
              <w:rPr>
                <w:rFonts w:eastAsia="Times New Roman"/>
                <w:sz w:val="14"/>
                <w:szCs w:val="14"/>
              </w:rPr>
            </w:pPr>
            <w:r w:rsidRPr="002B4E56">
              <w:rPr>
                <w:rFonts w:eastAsia="Times New Roman"/>
                <w:sz w:val="14"/>
                <w:szCs w:val="14"/>
              </w:rPr>
              <w:t>Part or Material Weight</w:t>
            </w:r>
            <w:r w:rsidR="00D418D0" w:rsidRPr="002B4E56">
              <w:rPr>
                <w:rFonts w:eastAsia="Times New Roman"/>
                <w:sz w:val="14"/>
                <w:szCs w:val="14"/>
              </w:rPr>
              <w:t xml:space="preserve"> (grams)</w:t>
            </w:r>
          </w:p>
        </w:tc>
        <w:tc>
          <w:tcPr>
            <w:tcW w:w="1027" w:type="dxa"/>
            <w:vMerge w:val="restart"/>
            <w:tcBorders>
              <w:top w:val="single" w:sz="12" w:space="0" w:color="auto"/>
            </w:tcBorders>
            <w:shd w:val="clear" w:color="auto" w:fill="DBE5F1" w:themeFill="accent1" w:themeFillTint="33"/>
            <w:vAlign w:val="center"/>
          </w:tcPr>
          <w:p w14:paraId="01C3742B" w14:textId="30632615" w:rsidR="00C84527" w:rsidRPr="002B4E56" w:rsidRDefault="00A60A00" w:rsidP="00C84527">
            <w:pPr>
              <w:spacing w:before="120"/>
              <w:jc w:val="center"/>
              <w:rPr>
                <w:rFonts w:eastAsia="Times New Roman"/>
                <w:sz w:val="14"/>
                <w:szCs w:val="14"/>
              </w:rPr>
            </w:pPr>
            <w:r w:rsidRPr="002B4E56">
              <w:rPr>
                <w:rFonts w:eastAsia="Times New Roman"/>
                <w:sz w:val="14"/>
                <w:szCs w:val="14"/>
              </w:rPr>
              <w:t>RoHS Compliant?</w:t>
            </w:r>
          </w:p>
        </w:tc>
        <w:tc>
          <w:tcPr>
            <w:tcW w:w="1170" w:type="dxa"/>
            <w:vMerge w:val="restart"/>
            <w:tcBorders>
              <w:top w:val="single" w:sz="12" w:space="0" w:color="auto"/>
            </w:tcBorders>
            <w:shd w:val="clear" w:color="auto" w:fill="DBE5F1" w:themeFill="accent1" w:themeFillTint="33"/>
            <w:vAlign w:val="center"/>
          </w:tcPr>
          <w:p w14:paraId="01C3742C" w14:textId="40254866" w:rsidR="00A60A00" w:rsidRPr="002B4E56" w:rsidRDefault="00A60A00" w:rsidP="00C84527">
            <w:pPr>
              <w:jc w:val="center"/>
              <w:rPr>
                <w:rFonts w:eastAsia="Times New Roman"/>
                <w:sz w:val="14"/>
                <w:szCs w:val="14"/>
              </w:rPr>
            </w:pPr>
            <w:r w:rsidRPr="002B4E56">
              <w:rPr>
                <w:rFonts w:eastAsia="Times New Roman"/>
                <w:sz w:val="14"/>
                <w:szCs w:val="14"/>
              </w:rPr>
              <w:t>Any REACH SVHC Content</w:t>
            </w:r>
            <w:r w:rsidR="00CD71F3" w:rsidRPr="002B4E56">
              <w:rPr>
                <w:rFonts w:eastAsia="Times New Roman"/>
                <w:sz w:val="14"/>
                <w:szCs w:val="14"/>
              </w:rPr>
              <w:t xml:space="preserve"> in the article or sub-articles</w:t>
            </w:r>
          </w:p>
          <w:p w14:paraId="01C3742D" w14:textId="2C4F57D8" w:rsidR="00A60A00" w:rsidRPr="002B4E56" w:rsidRDefault="00A60A00" w:rsidP="00C84527">
            <w:pPr>
              <w:jc w:val="center"/>
              <w:rPr>
                <w:rFonts w:eastAsia="Times New Roman"/>
                <w:color w:val="000000"/>
                <w:sz w:val="14"/>
                <w:szCs w:val="14"/>
              </w:rPr>
            </w:pPr>
            <w:r w:rsidRPr="002B4E56">
              <w:rPr>
                <w:rFonts w:eastAsia="Times New Roman"/>
                <w:sz w:val="14"/>
                <w:szCs w:val="14"/>
              </w:rPr>
              <w:t xml:space="preserve">&gt; 0.1% </w:t>
            </w:r>
            <w:proofErr w:type="spellStart"/>
            <w:r w:rsidRPr="002B4E56">
              <w:rPr>
                <w:rFonts w:eastAsia="Times New Roman"/>
                <w:sz w:val="14"/>
                <w:szCs w:val="14"/>
              </w:rPr>
              <w:t>wt</w:t>
            </w:r>
            <w:proofErr w:type="spellEnd"/>
            <w:r w:rsidRPr="002B4E56">
              <w:rPr>
                <w:rFonts w:eastAsia="Times New Roman"/>
                <w:sz w:val="14"/>
                <w:szCs w:val="14"/>
              </w:rPr>
              <w:t>/</w:t>
            </w:r>
            <w:proofErr w:type="spellStart"/>
            <w:r w:rsidRPr="002B4E56">
              <w:rPr>
                <w:rFonts w:eastAsia="Times New Roman"/>
                <w:sz w:val="14"/>
                <w:szCs w:val="14"/>
              </w:rPr>
              <w:t>wt</w:t>
            </w:r>
            <w:proofErr w:type="spellEnd"/>
            <w:r w:rsidRPr="002B4E56">
              <w:rPr>
                <w:rFonts w:eastAsia="Times New Roman"/>
                <w:sz w:val="14"/>
                <w:szCs w:val="14"/>
              </w:rPr>
              <w:t>?</w:t>
            </w:r>
          </w:p>
        </w:tc>
        <w:tc>
          <w:tcPr>
            <w:tcW w:w="1080" w:type="dxa"/>
            <w:vMerge w:val="restart"/>
            <w:tcBorders>
              <w:top w:val="single" w:sz="12" w:space="0" w:color="auto"/>
            </w:tcBorders>
            <w:shd w:val="clear" w:color="auto" w:fill="DBE5F1" w:themeFill="accent1" w:themeFillTint="33"/>
            <w:vAlign w:val="center"/>
          </w:tcPr>
          <w:p w14:paraId="01C3742E" w14:textId="77D0A922" w:rsidR="00A60A00" w:rsidRPr="002B4E56" w:rsidRDefault="00A60A00" w:rsidP="00723918">
            <w:pPr>
              <w:jc w:val="center"/>
              <w:rPr>
                <w:rFonts w:eastAsia="Times New Roman"/>
                <w:color w:val="000000"/>
                <w:sz w:val="14"/>
                <w:szCs w:val="14"/>
              </w:rPr>
            </w:pPr>
            <w:r w:rsidRPr="002B4E56">
              <w:rPr>
                <w:rFonts w:eastAsia="Times New Roman"/>
                <w:sz w:val="14"/>
                <w:szCs w:val="14"/>
              </w:rPr>
              <w:t>Any</w:t>
            </w:r>
            <w:r w:rsidR="00C84527" w:rsidRPr="002B4E56">
              <w:rPr>
                <w:rFonts w:eastAsia="Times New Roman"/>
                <w:sz w:val="14"/>
                <w:szCs w:val="14"/>
              </w:rPr>
              <w:t xml:space="preserve"> Additional </w:t>
            </w:r>
            <w:r w:rsidR="00CD71F3" w:rsidRPr="002B4E56">
              <w:rPr>
                <w:rFonts w:eastAsia="Times New Roman"/>
                <w:sz w:val="14"/>
                <w:szCs w:val="14"/>
              </w:rPr>
              <w:t xml:space="preserve">Restricted or Reportable </w:t>
            </w:r>
            <w:r w:rsidR="00C84527" w:rsidRPr="002B4E56">
              <w:rPr>
                <w:rFonts w:eastAsia="Times New Roman"/>
                <w:sz w:val="14"/>
                <w:szCs w:val="14"/>
              </w:rPr>
              <w:t>Substance</w:t>
            </w:r>
            <w:r w:rsidR="00CD71F3" w:rsidRPr="002B4E56">
              <w:rPr>
                <w:rFonts w:eastAsia="Times New Roman"/>
                <w:sz w:val="14"/>
                <w:szCs w:val="14"/>
              </w:rPr>
              <w:t>s</w:t>
            </w:r>
            <w:r w:rsidRPr="002B4E56">
              <w:rPr>
                <w:rFonts w:eastAsia="Times New Roman"/>
                <w:sz w:val="14"/>
                <w:szCs w:val="14"/>
              </w:rPr>
              <w:t>?</w:t>
            </w:r>
          </w:p>
        </w:tc>
        <w:tc>
          <w:tcPr>
            <w:tcW w:w="3783" w:type="dxa"/>
            <w:vMerge w:val="restart"/>
            <w:tcBorders>
              <w:top w:val="single" w:sz="12" w:space="0" w:color="auto"/>
            </w:tcBorders>
            <w:shd w:val="clear" w:color="auto" w:fill="DBE5F1" w:themeFill="accent1" w:themeFillTint="33"/>
            <w:vAlign w:val="center"/>
          </w:tcPr>
          <w:p w14:paraId="01C3742F" w14:textId="77777777" w:rsidR="00A60A00" w:rsidRPr="002B4E56" w:rsidRDefault="00A60A00" w:rsidP="00D22252">
            <w:pPr>
              <w:rPr>
                <w:rFonts w:eastAsia="Times New Roman"/>
                <w:color w:val="000000" w:themeColor="text1"/>
                <w:sz w:val="14"/>
                <w:szCs w:val="14"/>
              </w:rPr>
            </w:pPr>
            <w:r w:rsidRPr="002B4E56">
              <w:rPr>
                <w:rFonts w:eastAsia="Times New Roman"/>
                <w:color w:val="000000" w:themeColor="text1"/>
                <w:sz w:val="14"/>
                <w:szCs w:val="14"/>
              </w:rPr>
              <w:t>Please list and/or explain any:</w:t>
            </w:r>
          </w:p>
          <w:p w14:paraId="01C37430" w14:textId="5FE98D4B" w:rsidR="00A60A00" w:rsidRPr="002B4E56" w:rsidRDefault="00A60A00" w:rsidP="001F53FB">
            <w:pPr>
              <w:pStyle w:val="ListParagraph"/>
              <w:numPr>
                <w:ilvl w:val="0"/>
                <w:numId w:val="36"/>
              </w:numPr>
              <w:ind w:left="162" w:hanging="162"/>
              <w:rPr>
                <w:rFonts w:eastAsia="Times New Roman"/>
                <w:color w:val="000000" w:themeColor="text1"/>
                <w:sz w:val="14"/>
                <w:szCs w:val="14"/>
              </w:rPr>
            </w:pPr>
            <w:r w:rsidRPr="002B4E56">
              <w:rPr>
                <w:rFonts w:eastAsia="Times New Roman"/>
                <w:color w:val="000000" w:themeColor="text1"/>
                <w:sz w:val="14"/>
                <w:szCs w:val="14"/>
              </w:rPr>
              <w:t xml:space="preserve">RoHS </w:t>
            </w:r>
            <w:r w:rsidR="00030649" w:rsidRPr="002B4E56">
              <w:rPr>
                <w:rFonts w:eastAsia="Times New Roman"/>
                <w:color w:val="000000" w:themeColor="text1"/>
                <w:sz w:val="14"/>
                <w:szCs w:val="14"/>
              </w:rPr>
              <w:t>Annex III &amp; IV e</w:t>
            </w:r>
            <w:r w:rsidRPr="002B4E56">
              <w:rPr>
                <w:rFonts w:eastAsia="Times New Roman"/>
                <w:color w:val="000000" w:themeColor="text1"/>
                <w:sz w:val="14"/>
                <w:szCs w:val="14"/>
              </w:rPr>
              <w:t>xemptions</w:t>
            </w:r>
            <w:r w:rsidR="00C84527" w:rsidRPr="002B4E56">
              <w:rPr>
                <w:rFonts w:eastAsia="Times New Roman"/>
                <w:color w:val="000000" w:themeColor="text1"/>
                <w:sz w:val="14"/>
                <w:szCs w:val="14"/>
              </w:rPr>
              <w:t xml:space="preserve"> used </w:t>
            </w:r>
            <w:r w:rsidR="00A7068B" w:rsidRPr="002B4E56">
              <w:rPr>
                <w:rFonts w:eastAsia="Times New Roman"/>
                <w:color w:val="000000" w:themeColor="text1"/>
                <w:sz w:val="14"/>
                <w:szCs w:val="14"/>
              </w:rPr>
              <w:t>for compliance</w:t>
            </w:r>
          </w:p>
          <w:p w14:paraId="01C37431" w14:textId="77777777" w:rsidR="00A60A00" w:rsidRPr="002B4E56" w:rsidRDefault="00A60A00" w:rsidP="001F53FB">
            <w:pPr>
              <w:pStyle w:val="ListParagraph"/>
              <w:numPr>
                <w:ilvl w:val="0"/>
                <w:numId w:val="36"/>
              </w:numPr>
              <w:ind w:left="162" w:hanging="162"/>
              <w:rPr>
                <w:rFonts w:eastAsia="Times New Roman"/>
                <w:color w:val="000000" w:themeColor="text1"/>
                <w:sz w:val="14"/>
                <w:szCs w:val="14"/>
              </w:rPr>
            </w:pPr>
            <w:r w:rsidRPr="002B4E56">
              <w:rPr>
                <w:rFonts w:eastAsia="Times New Roman"/>
                <w:color w:val="000000" w:themeColor="text1"/>
                <w:sz w:val="14"/>
                <w:szCs w:val="14"/>
              </w:rPr>
              <w:t>SVHC concentrations &gt; 0.1% (list substance and actual content)</w:t>
            </w:r>
          </w:p>
          <w:p w14:paraId="01C37432" w14:textId="77777777" w:rsidR="00A60A00" w:rsidRPr="002B4E56" w:rsidRDefault="00A60A00" w:rsidP="001F53FB">
            <w:pPr>
              <w:pStyle w:val="ListParagraph"/>
              <w:numPr>
                <w:ilvl w:val="0"/>
                <w:numId w:val="36"/>
              </w:numPr>
              <w:ind w:left="162" w:hanging="162"/>
              <w:rPr>
                <w:rFonts w:eastAsia="Times New Roman"/>
                <w:color w:val="000000" w:themeColor="text1"/>
                <w:sz w:val="14"/>
                <w:szCs w:val="14"/>
              </w:rPr>
            </w:pPr>
            <w:r w:rsidRPr="002B4E56">
              <w:rPr>
                <w:rFonts w:eastAsia="Times New Roman"/>
                <w:color w:val="000000" w:themeColor="text1"/>
                <w:sz w:val="14"/>
                <w:szCs w:val="14"/>
              </w:rPr>
              <w:t>Additional Substances that exceed stated threshold (list substance and actual content)</w:t>
            </w:r>
          </w:p>
        </w:tc>
        <w:tc>
          <w:tcPr>
            <w:tcW w:w="717" w:type="dxa"/>
            <w:vMerge w:val="restart"/>
            <w:tcBorders>
              <w:top w:val="single" w:sz="12" w:space="0" w:color="auto"/>
              <w:right w:val="single" w:sz="12" w:space="0" w:color="000000" w:themeColor="text1"/>
            </w:tcBorders>
            <w:shd w:val="clear" w:color="auto" w:fill="DBE5F1" w:themeFill="accent1" w:themeFillTint="33"/>
            <w:vAlign w:val="center"/>
          </w:tcPr>
          <w:p w14:paraId="01C37433" w14:textId="77777777" w:rsidR="00A60A00" w:rsidRPr="002B4E56" w:rsidRDefault="00A60A00" w:rsidP="00723918">
            <w:pPr>
              <w:jc w:val="center"/>
              <w:rPr>
                <w:sz w:val="14"/>
                <w:szCs w:val="14"/>
              </w:rPr>
            </w:pPr>
            <w:r w:rsidRPr="002B4E56">
              <w:rPr>
                <w:rFonts w:eastAsia="Times New Roman"/>
                <w:sz w:val="14"/>
                <w:szCs w:val="14"/>
              </w:rPr>
              <w:t>% or ppm</w:t>
            </w:r>
          </w:p>
        </w:tc>
      </w:tr>
      <w:tr w:rsidR="00C84527" w:rsidRPr="005E4993" w14:paraId="01C3743D" w14:textId="77777777" w:rsidTr="00030736">
        <w:trPr>
          <w:trHeight w:val="468"/>
        </w:trPr>
        <w:tc>
          <w:tcPr>
            <w:tcW w:w="1982" w:type="dxa"/>
            <w:tcBorders>
              <w:top w:val="dashed" w:sz="4" w:space="0" w:color="auto"/>
              <w:left w:val="single" w:sz="12" w:space="0" w:color="000000" w:themeColor="text1"/>
              <w:bottom w:val="single" w:sz="12" w:space="0" w:color="auto"/>
            </w:tcBorders>
            <w:shd w:val="clear" w:color="auto" w:fill="DBE5F1" w:themeFill="accent1" w:themeFillTint="33"/>
            <w:vAlign w:val="center"/>
          </w:tcPr>
          <w:p w14:paraId="01C37435" w14:textId="77777777" w:rsidR="00A60A00" w:rsidRPr="002B4E56" w:rsidRDefault="00A60A00" w:rsidP="00723918">
            <w:pPr>
              <w:jc w:val="center"/>
              <w:rPr>
                <w:sz w:val="14"/>
                <w:szCs w:val="14"/>
              </w:rPr>
            </w:pPr>
            <w:r w:rsidRPr="002B4E56">
              <w:rPr>
                <w:rFonts w:eastAsia="Times New Roman"/>
                <w:sz w:val="14"/>
                <w:szCs w:val="14"/>
              </w:rPr>
              <w:t>Provider Part Number</w:t>
            </w:r>
          </w:p>
        </w:tc>
        <w:tc>
          <w:tcPr>
            <w:tcW w:w="2536" w:type="dxa"/>
            <w:vMerge/>
            <w:tcBorders>
              <w:bottom w:val="single" w:sz="12" w:space="0" w:color="auto"/>
            </w:tcBorders>
            <w:shd w:val="clear" w:color="auto" w:fill="DBE5F1" w:themeFill="accent1" w:themeFillTint="33"/>
            <w:vAlign w:val="center"/>
          </w:tcPr>
          <w:p w14:paraId="01C37436" w14:textId="77777777" w:rsidR="00A60A00" w:rsidRPr="002B4E56" w:rsidRDefault="00A60A00" w:rsidP="00723918">
            <w:pPr>
              <w:jc w:val="center"/>
              <w:rPr>
                <w:sz w:val="14"/>
                <w:szCs w:val="14"/>
              </w:rPr>
            </w:pPr>
          </w:p>
        </w:tc>
        <w:tc>
          <w:tcPr>
            <w:tcW w:w="863" w:type="dxa"/>
            <w:vMerge/>
            <w:tcBorders>
              <w:bottom w:val="single" w:sz="12" w:space="0" w:color="auto"/>
            </w:tcBorders>
            <w:shd w:val="clear" w:color="auto" w:fill="DBE5F1" w:themeFill="accent1" w:themeFillTint="33"/>
          </w:tcPr>
          <w:p w14:paraId="01C37437" w14:textId="77777777" w:rsidR="00A60A00" w:rsidRPr="002B4E56" w:rsidRDefault="00A60A00" w:rsidP="00723918">
            <w:pPr>
              <w:spacing w:before="120"/>
              <w:jc w:val="center"/>
              <w:rPr>
                <w:rFonts w:eastAsia="Times New Roman"/>
                <w:color w:val="000000"/>
                <w:sz w:val="14"/>
                <w:szCs w:val="14"/>
              </w:rPr>
            </w:pPr>
          </w:p>
        </w:tc>
        <w:tc>
          <w:tcPr>
            <w:tcW w:w="1027" w:type="dxa"/>
            <w:vMerge/>
            <w:tcBorders>
              <w:bottom w:val="single" w:sz="12" w:space="0" w:color="auto"/>
            </w:tcBorders>
            <w:shd w:val="clear" w:color="auto" w:fill="DBE5F1" w:themeFill="accent1" w:themeFillTint="33"/>
            <w:vAlign w:val="center"/>
          </w:tcPr>
          <w:p w14:paraId="01C37438" w14:textId="77777777" w:rsidR="00A60A00" w:rsidRPr="002B4E56" w:rsidRDefault="00A60A00" w:rsidP="00C84527">
            <w:pPr>
              <w:spacing w:before="120"/>
              <w:jc w:val="center"/>
              <w:rPr>
                <w:rFonts w:eastAsia="Times New Roman"/>
                <w:color w:val="000000"/>
                <w:sz w:val="14"/>
                <w:szCs w:val="14"/>
              </w:rPr>
            </w:pPr>
          </w:p>
        </w:tc>
        <w:tc>
          <w:tcPr>
            <w:tcW w:w="1170" w:type="dxa"/>
            <w:vMerge/>
            <w:tcBorders>
              <w:bottom w:val="single" w:sz="12" w:space="0" w:color="auto"/>
            </w:tcBorders>
            <w:shd w:val="clear" w:color="auto" w:fill="DBE5F1" w:themeFill="accent1" w:themeFillTint="33"/>
            <w:vAlign w:val="center"/>
          </w:tcPr>
          <w:p w14:paraId="01C37439" w14:textId="77777777" w:rsidR="00A60A00" w:rsidRPr="002B4E56" w:rsidRDefault="00A60A00" w:rsidP="00C84527">
            <w:pPr>
              <w:jc w:val="center"/>
              <w:rPr>
                <w:rFonts w:eastAsia="Times New Roman"/>
                <w:color w:val="000000"/>
                <w:sz w:val="14"/>
                <w:szCs w:val="14"/>
              </w:rPr>
            </w:pPr>
          </w:p>
        </w:tc>
        <w:tc>
          <w:tcPr>
            <w:tcW w:w="1080" w:type="dxa"/>
            <w:vMerge/>
            <w:tcBorders>
              <w:bottom w:val="single" w:sz="12" w:space="0" w:color="auto"/>
            </w:tcBorders>
            <w:shd w:val="clear" w:color="auto" w:fill="DBE5F1" w:themeFill="accent1" w:themeFillTint="33"/>
            <w:vAlign w:val="center"/>
          </w:tcPr>
          <w:p w14:paraId="01C3743A" w14:textId="77777777" w:rsidR="00A60A00" w:rsidRPr="002B4E56" w:rsidRDefault="00A60A00" w:rsidP="00723918">
            <w:pPr>
              <w:jc w:val="center"/>
              <w:rPr>
                <w:rFonts w:eastAsia="Times New Roman"/>
                <w:color w:val="000000"/>
                <w:sz w:val="14"/>
                <w:szCs w:val="14"/>
              </w:rPr>
            </w:pPr>
          </w:p>
        </w:tc>
        <w:tc>
          <w:tcPr>
            <w:tcW w:w="3783" w:type="dxa"/>
            <w:vMerge/>
            <w:tcBorders>
              <w:bottom w:val="single" w:sz="12" w:space="0" w:color="auto"/>
            </w:tcBorders>
            <w:shd w:val="clear" w:color="auto" w:fill="DBE5F1" w:themeFill="accent1" w:themeFillTint="33"/>
            <w:vAlign w:val="center"/>
          </w:tcPr>
          <w:p w14:paraId="01C3743B" w14:textId="77777777" w:rsidR="00A60A00" w:rsidRPr="002B4E56" w:rsidRDefault="00A60A00" w:rsidP="00723918">
            <w:pPr>
              <w:jc w:val="center"/>
              <w:rPr>
                <w:sz w:val="14"/>
                <w:szCs w:val="14"/>
              </w:rPr>
            </w:pPr>
          </w:p>
        </w:tc>
        <w:tc>
          <w:tcPr>
            <w:tcW w:w="717" w:type="dxa"/>
            <w:vMerge/>
            <w:tcBorders>
              <w:bottom w:val="single" w:sz="12" w:space="0" w:color="auto"/>
              <w:right w:val="single" w:sz="12" w:space="0" w:color="000000" w:themeColor="text1"/>
            </w:tcBorders>
            <w:shd w:val="clear" w:color="auto" w:fill="DBE5F1" w:themeFill="accent1" w:themeFillTint="33"/>
            <w:vAlign w:val="center"/>
          </w:tcPr>
          <w:p w14:paraId="01C3743C" w14:textId="77777777" w:rsidR="00A60A00" w:rsidRPr="002B4E56" w:rsidRDefault="00A60A00" w:rsidP="00723918">
            <w:pPr>
              <w:jc w:val="center"/>
              <w:rPr>
                <w:sz w:val="14"/>
                <w:szCs w:val="14"/>
              </w:rPr>
            </w:pPr>
          </w:p>
        </w:tc>
      </w:tr>
      <w:tr w:rsidR="00C84527" w:rsidRPr="005E4993" w14:paraId="01C3745B" w14:textId="77777777" w:rsidTr="00030736">
        <w:trPr>
          <w:trHeight w:val="473"/>
        </w:trPr>
        <w:tc>
          <w:tcPr>
            <w:tcW w:w="1982" w:type="dxa"/>
            <w:tcBorders>
              <w:top w:val="single" w:sz="12" w:space="0" w:color="auto"/>
              <w:left w:val="single" w:sz="12" w:space="0" w:color="000000" w:themeColor="text1"/>
              <w:bottom w:val="dashed" w:sz="4" w:space="0" w:color="auto"/>
            </w:tcBorders>
          </w:tcPr>
          <w:p w14:paraId="01C3743E" w14:textId="77777777" w:rsidR="00A60A00" w:rsidRPr="00CF2D28" w:rsidRDefault="00A60A00" w:rsidP="00723918">
            <w:pPr>
              <w:spacing w:line="360" w:lineRule="auto"/>
              <w:rPr>
                <w:sz w:val="18"/>
                <w:szCs w:val="20"/>
              </w:rPr>
            </w:pPr>
          </w:p>
        </w:tc>
        <w:tc>
          <w:tcPr>
            <w:tcW w:w="2536" w:type="dxa"/>
            <w:vMerge w:val="restart"/>
            <w:tcBorders>
              <w:top w:val="single" w:sz="12" w:space="0" w:color="auto"/>
            </w:tcBorders>
          </w:tcPr>
          <w:p w14:paraId="01C3743F" w14:textId="77777777" w:rsidR="00A60A00" w:rsidRPr="00CF2D28" w:rsidRDefault="00A60A00" w:rsidP="00723918">
            <w:pPr>
              <w:spacing w:line="360" w:lineRule="auto"/>
              <w:rPr>
                <w:sz w:val="18"/>
                <w:szCs w:val="20"/>
              </w:rPr>
            </w:pPr>
          </w:p>
        </w:tc>
        <w:tc>
          <w:tcPr>
            <w:tcW w:w="863" w:type="dxa"/>
            <w:vMerge w:val="restart"/>
            <w:tcBorders>
              <w:top w:val="single" w:sz="12" w:space="0" w:color="auto"/>
            </w:tcBorders>
          </w:tcPr>
          <w:p w14:paraId="01C37440" w14:textId="77777777" w:rsidR="00A60A00" w:rsidRPr="00CF2D28" w:rsidRDefault="00A60A00" w:rsidP="00247F32">
            <w:pPr>
              <w:ind w:left="-54"/>
              <w:jc w:val="right"/>
              <w:rPr>
                <w:rFonts w:eastAsia="Times New Roman"/>
                <w:color w:val="000000"/>
                <w:sz w:val="18"/>
                <w:szCs w:val="20"/>
              </w:rPr>
            </w:pPr>
          </w:p>
        </w:tc>
        <w:tc>
          <w:tcPr>
            <w:tcW w:w="1027"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8A1B7C" w:rsidRPr="002B4E56" w14:paraId="3AFB04F6" w14:textId="77777777" w:rsidTr="00851A55">
              <w:trPr>
                <w:trHeight w:hRule="exact" w:val="216"/>
                <w:tblCellSpacing w:w="14" w:type="dxa"/>
              </w:trPr>
              <w:tc>
                <w:tcPr>
                  <w:tcW w:w="601" w:type="dxa"/>
                  <w:vAlign w:val="center"/>
                </w:tcPr>
                <w:p w14:paraId="77AE41A7" w14:textId="77777777" w:rsidR="00C84527" w:rsidRPr="002B4E56" w:rsidRDefault="00C84527" w:rsidP="00A7068B">
                  <w:pPr>
                    <w:ind w:left="-54"/>
                    <w:jc w:val="center"/>
                    <w:rPr>
                      <w:rFonts w:eastAsia="Times New Roman"/>
                      <w:color w:val="000000" w:themeColor="text1"/>
                      <w:sz w:val="14"/>
                      <w:szCs w:val="14"/>
                    </w:rPr>
                  </w:pPr>
                  <w:r w:rsidRPr="002B4E56">
                    <w:rPr>
                      <w:rFonts w:eastAsia="Times New Roman"/>
                      <w:color w:val="000000" w:themeColor="text1"/>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19AC7C" w14:textId="77777777" w:rsidR="00C84527" w:rsidRPr="002B4E56" w:rsidRDefault="00C84527" w:rsidP="00A7068B">
                  <w:pPr>
                    <w:jc w:val="center"/>
                    <w:rPr>
                      <w:rFonts w:eastAsia="Times New Roman"/>
                      <w:color w:val="000000" w:themeColor="text1"/>
                      <w:sz w:val="14"/>
                      <w:szCs w:val="14"/>
                    </w:rPr>
                  </w:pPr>
                </w:p>
              </w:tc>
            </w:tr>
            <w:tr w:rsidR="008A1B7C" w:rsidRPr="002B4E56" w14:paraId="2BB19A7D" w14:textId="77777777" w:rsidTr="00851A55">
              <w:trPr>
                <w:trHeight w:hRule="exact" w:val="216"/>
                <w:tblCellSpacing w:w="14" w:type="dxa"/>
              </w:trPr>
              <w:tc>
                <w:tcPr>
                  <w:tcW w:w="601" w:type="dxa"/>
                  <w:vAlign w:val="center"/>
                </w:tcPr>
                <w:p w14:paraId="4AFA2B35" w14:textId="77777777" w:rsidR="00C84527" w:rsidRPr="002B4E56" w:rsidRDefault="00C84527" w:rsidP="00A7068B">
                  <w:pPr>
                    <w:ind w:left="-54"/>
                    <w:jc w:val="center"/>
                    <w:rPr>
                      <w:rFonts w:eastAsia="Times New Roman"/>
                      <w:color w:val="000000" w:themeColor="text1"/>
                      <w:sz w:val="14"/>
                      <w:szCs w:val="14"/>
                    </w:rPr>
                  </w:pPr>
                  <w:r w:rsidRPr="002B4E56">
                    <w:rPr>
                      <w:rFonts w:eastAsia="Times New Roman"/>
                      <w:color w:val="000000" w:themeColor="text1"/>
                      <w:sz w:val="14"/>
                      <w:szCs w:val="14"/>
                    </w:rPr>
                    <w:t>No</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5861EC" w14:textId="77777777" w:rsidR="00C84527" w:rsidRPr="002B4E56" w:rsidRDefault="00C84527" w:rsidP="00A7068B">
                  <w:pPr>
                    <w:jc w:val="center"/>
                    <w:rPr>
                      <w:rFonts w:eastAsia="Times New Roman"/>
                      <w:color w:val="000000" w:themeColor="text1"/>
                      <w:sz w:val="14"/>
                      <w:szCs w:val="14"/>
                    </w:rPr>
                  </w:pPr>
                </w:p>
              </w:tc>
            </w:tr>
            <w:tr w:rsidR="008A1B7C" w:rsidRPr="002B4E56" w14:paraId="3FFD4AF6" w14:textId="77777777" w:rsidTr="00851A55">
              <w:trPr>
                <w:trHeight w:hRule="exact" w:val="216"/>
                <w:tblCellSpacing w:w="14" w:type="dxa"/>
              </w:trPr>
              <w:tc>
                <w:tcPr>
                  <w:tcW w:w="601" w:type="dxa"/>
                  <w:vAlign w:val="center"/>
                </w:tcPr>
                <w:p w14:paraId="57807BB6" w14:textId="5E707544" w:rsidR="00C84527" w:rsidRPr="002B4E56" w:rsidRDefault="00A7068B" w:rsidP="00A7068B">
                  <w:pPr>
                    <w:rPr>
                      <w:rFonts w:eastAsia="Times New Roman"/>
                      <w:color w:val="000000" w:themeColor="text1"/>
                      <w:sz w:val="14"/>
                      <w:szCs w:val="14"/>
                    </w:rPr>
                  </w:pPr>
                  <w:r w:rsidRPr="002B4E56">
                    <w:rPr>
                      <w:rFonts w:eastAsia="Times New Roman"/>
                      <w:color w:val="000000" w:themeColor="text1"/>
                      <w:sz w:val="14"/>
                      <w:szCs w:val="14"/>
                    </w:rPr>
                    <w:t>Yes, by</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6C7D6" w14:textId="77777777" w:rsidR="00C84527" w:rsidRPr="002B4E56" w:rsidRDefault="00C84527" w:rsidP="00851A55">
                  <w:pPr>
                    <w:jc w:val="center"/>
                    <w:rPr>
                      <w:rFonts w:eastAsia="Times New Roman"/>
                      <w:color w:val="000000" w:themeColor="text1"/>
                      <w:sz w:val="14"/>
                      <w:szCs w:val="14"/>
                    </w:rPr>
                  </w:pPr>
                </w:p>
              </w:tc>
            </w:tr>
          </w:tbl>
          <w:p w14:paraId="01C3744A" w14:textId="1B4FA0AD" w:rsidR="00A60A00" w:rsidRPr="002B4E56" w:rsidRDefault="00A7068B" w:rsidP="00A7068B">
            <w:pPr>
              <w:spacing w:line="360" w:lineRule="auto"/>
              <w:rPr>
                <w:rFonts w:eastAsia="Times New Roman"/>
                <w:color w:val="000000" w:themeColor="text1"/>
                <w:sz w:val="14"/>
                <w:szCs w:val="14"/>
              </w:rPr>
            </w:pPr>
            <w:r w:rsidRPr="002B4E56">
              <w:rPr>
                <w:rFonts w:eastAsia="Times New Roman"/>
                <w:color w:val="000000" w:themeColor="text1"/>
                <w:sz w:val="14"/>
                <w:szCs w:val="14"/>
              </w:rPr>
              <w:t>Exemption</w:t>
            </w:r>
          </w:p>
        </w:tc>
        <w:tc>
          <w:tcPr>
            <w:tcW w:w="117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A60A00" w:rsidRPr="002B4E56" w14:paraId="01C3744D" w14:textId="77777777" w:rsidTr="00C84527">
              <w:trPr>
                <w:trHeight w:hRule="exact" w:val="216"/>
                <w:tblCellSpacing w:w="14" w:type="dxa"/>
              </w:trPr>
              <w:tc>
                <w:tcPr>
                  <w:tcW w:w="601" w:type="dxa"/>
                  <w:vAlign w:val="center"/>
                </w:tcPr>
                <w:p w14:paraId="01C3744B" w14:textId="77777777" w:rsidR="00A60A00" w:rsidRPr="002B4E56" w:rsidRDefault="00A60A00" w:rsidP="00C84527">
                  <w:pPr>
                    <w:ind w:left="-54"/>
                    <w:jc w:val="center"/>
                    <w:rPr>
                      <w:rFonts w:eastAsia="Times New Roman"/>
                      <w:color w:val="000000"/>
                      <w:sz w:val="14"/>
                      <w:szCs w:val="14"/>
                    </w:rPr>
                  </w:pPr>
                  <w:r w:rsidRPr="002B4E56">
                    <w:rPr>
                      <w:rFonts w:eastAsia="Times New Roman"/>
                      <w:color w:val="000000"/>
                      <w:sz w:val="14"/>
                      <w:szCs w:val="14"/>
                    </w:rPr>
                    <w:t>None</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4C" w14:textId="77777777" w:rsidR="00A60A00" w:rsidRPr="002B4E56" w:rsidRDefault="00A60A00" w:rsidP="00C84527">
                  <w:pPr>
                    <w:jc w:val="center"/>
                    <w:rPr>
                      <w:rFonts w:eastAsia="Times New Roman"/>
                      <w:color w:val="000000"/>
                      <w:sz w:val="14"/>
                      <w:szCs w:val="14"/>
                    </w:rPr>
                  </w:pPr>
                </w:p>
              </w:tc>
            </w:tr>
            <w:tr w:rsidR="00A60A00" w:rsidRPr="002B4E56" w14:paraId="01C37450" w14:textId="77777777" w:rsidTr="00C84527">
              <w:trPr>
                <w:trHeight w:hRule="exact" w:val="216"/>
                <w:tblCellSpacing w:w="14" w:type="dxa"/>
              </w:trPr>
              <w:tc>
                <w:tcPr>
                  <w:tcW w:w="601" w:type="dxa"/>
                  <w:vAlign w:val="center"/>
                </w:tcPr>
                <w:p w14:paraId="01C3744E" w14:textId="77777777" w:rsidR="00A60A00" w:rsidRPr="002B4E56" w:rsidRDefault="00A60A00" w:rsidP="00C84527">
                  <w:pPr>
                    <w:ind w:left="-54"/>
                    <w:jc w:val="center"/>
                    <w:rPr>
                      <w:rFonts w:eastAsia="Times New Roman"/>
                      <w:color w:val="000000"/>
                      <w:sz w:val="14"/>
                      <w:szCs w:val="14"/>
                    </w:rPr>
                  </w:pPr>
                  <w:r w:rsidRPr="002B4E56">
                    <w:rPr>
                      <w:rFonts w:eastAsia="Times New Roman"/>
                      <w:color w:val="000000"/>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4F" w14:textId="77777777" w:rsidR="00A60A00" w:rsidRPr="002B4E56" w:rsidRDefault="00A60A00" w:rsidP="00C84527">
                  <w:pPr>
                    <w:jc w:val="center"/>
                    <w:rPr>
                      <w:rFonts w:eastAsia="Times New Roman"/>
                      <w:color w:val="000000"/>
                      <w:sz w:val="14"/>
                      <w:szCs w:val="14"/>
                    </w:rPr>
                  </w:pPr>
                </w:p>
              </w:tc>
            </w:tr>
          </w:tbl>
          <w:p w14:paraId="01C37451" w14:textId="77777777" w:rsidR="00A60A00" w:rsidRPr="002B4E56" w:rsidRDefault="00A60A00" w:rsidP="00C84527">
            <w:pPr>
              <w:spacing w:line="360" w:lineRule="auto"/>
              <w:jc w:val="center"/>
              <w:rPr>
                <w:rFonts w:eastAsia="Times New Roman"/>
                <w:color w:val="000000"/>
                <w:sz w:val="14"/>
                <w:szCs w:val="14"/>
              </w:rPr>
            </w:pPr>
          </w:p>
        </w:tc>
        <w:tc>
          <w:tcPr>
            <w:tcW w:w="108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A60A00" w:rsidRPr="002B4E56" w14:paraId="01C37454" w14:textId="77777777" w:rsidTr="00C84527">
              <w:trPr>
                <w:trHeight w:hRule="exact" w:val="216"/>
                <w:tblCellSpacing w:w="14" w:type="dxa"/>
              </w:trPr>
              <w:tc>
                <w:tcPr>
                  <w:tcW w:w="601" w:type="dxa"/>
                  <w:vAlign w:val="center"/>
                </w:tcPr>
                <w:p w14:paraId="01C37452" w14:textId="77777777" w:rsidR="00A60A00" w:rsidRPr="002B4E56" w:rsidRDefault="00A60A00" w:rsidP="00247F32">
                  <w:pPr>
                    <w:ind w:left="-54"/>
                    <w:jc w:val="right"/>
                    <w:rPr>
                      <w:rFonts w:eastAsia="Times New Roman"/>
                      <w:color w:val="000000"/>
                      <w:sz w:val="14"/>
                      <w:szCs w:val="14"/>
                    </w:rPr>
                  </w:pPr>
                  <w:r w:rsidRPr="002B4E56">
                    <w:rPr>
                      <w:rFonts w:eastAsia="Times New Roman"/>
                      <w:color w:val="000000"/>
                      <w:sz w:val="14"/>
                      <w:szCs w:val="14"/>
                    </w:rPr>
                    <w:t>None</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53" w14:textId="77777777" w:rsidR="00A60A00" w:rsidRPr="002B4E56" w:rsidRDefault="00A60A00" w:rsidP="00247F32">
                  <w:pPr>
                    <w:jc w:val="center"/>
                    <w:rPr>
                      <w:rFonts w:eastAsia="Times New Roman"/>
                      <w:color w:val="000000"/>
                      <w:sz w:val="14"/>
                      <w:szCs w:val="14"/>
                    </w:rPr>
                  </w:pPr>
                </w:p>
              </w:tc>
            </w:tr>
            <w:tr w:rsidR="00A60A00" w:rsidRPr="002B4E56" w14:paraId="01C37457" w14:textId="77777777" w:rsidTr="00C84527">
              <w:trPr>
                <w:trHeight w:hRule="exact" w:val="216"/>
                <w:tblCellSpacing w:w="14" w:type="dxa"/>
              </w:trPr>
              <w:tc>
                <w:tcPr>
                  <w:tcW w:w="601" w:type="dxa"/>
                  <w:vAlign w:val="center"/>
                </w:tcPr>
                <w:p w14:paraId="01C37455" w14:textId="77777777" w:rsidR="00A60A00" w:rsidRPr="002B4E56" w:rsidRDefault="00A60A00" w:rsidP="00247F32">
                  <w:pPr>
                    <w:ind w:left="-54"/>
                    <w:jc w:val="right"/>
                    <w:rPr>
                      <w:rFonts w:eastAsia="Times New Roman"/>
                      <w:color w:val="000000"/>
                      <w:sz w:val="14"/>
                      <w:szCs w:val="14"/>
                    </w:rPr>
                  </w:pPr>
                  <w:r w:rsidRPr="002B4E56">
                    <w:rPr>
                      <w:rFonts w:eastAsia="Times New Roman"/>
                      <w:color w:val="000000"/>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56" w14:textId="77777777" w:rsidR="00A60A00" w:rsidRPr="002B4E56" w:rsidRDefault="00A60A00" w:rsidP="00247F32">
                  <w:pPr>
                    <w:rPr>
                      <w:rFonts w:eastAsia="Times New Roman"/>
                      <w:color w:val="000000"/>
                      <w:sz w:val="14"/>
                      <w:szCs w:val="14"/>
                    </w:rPr>
                  </w:pPr>
                </w:p>
              </w:tc>
            </w:tr>
          </w:tbl>
          <w:p w14:paraId="01C37458" w14:textId="77777777" w:rsidR="00A60A00" w:rsidRPr="002B4E56" w:rsidRDefault="00A60A00" w:rsidP="00247F32">
            <w:pPr>
              <w:spacing w:line="360" w:lineRule="auto"/>
              <w:jc w:val="center"/>
              <w:rPr>
                <w:rFonts w:eastAsia="Times New Roman"/>
                <w:color w:val="000000"/>
                <w:sz w:val="14"/>
                <w:szCs w:val="14"/>
              </w:rPr>
            </w:pPr>
          </w:p>
        </w:tc>
        <w:tc>
          <w:tcPr>
            <w:tcW w:w="3783" w:type="dxa"/>
            <w:vMerge w:val="restart"/>
            <w:tcBorders>
              <w:top w:val="single" w:sz="12" w:space="0" w:color="auto"/>
            </w:tcBorders>
          </w:tcPr>
          <w:p w14:paraId="01C37459" w14:textId="77777777" w:rsidR="00A60A00" w:rsidRPr="00CF2D28" w:rsidRDefault="00A60A00" w:rsidP="00723918">
            <w:pPr>
              <w:spacing w:line="360" w:lineRule="auto"/>
              <w:rPr>
                <w:sz w:val="18"/>
                <w:szCs w:val="20"/>
              </w:rPr>
            </w:pPr>
          </w:p>
        </w:tc>
        <w:tc>
          <w:tcPr>
            <w:tcW w:w="717" w:type="dxa"/>
            <w:vMerge w:val="restart"/>
            <w:tcBorders>
              <w:top w:val="single" w:sz="12" w:space="0" w:color="auto"/>
              <w:right w:val="single" w:sz="12" w:space="0" w:color="000000" w:themeColor="text1"/>
            </w:tcBorders>
          </w:tcPr>
          <w:p w14:paraId="01C3745A" w14:textId="77777777" w:rsidR="00A60A00" w:rsidRPr="00CF2D28" w:rsidRDefault="00A60A00" w:rsidP="00723918">
            <w:pPr>
              <w:spacing w:line="360" w:lineRule="auto"/>
              <w:rPr>
                <w:sz w:val="18"/>
                <w:szCs w:val="20"/>
              </w:rPr>
            </w:pPr>
          </w:p>
        </w:tc>
      </w:tr>
      <w:tr w:rsidR="00C84527" w:rsidRPr="005E4993" w14:paraId="01C37464" w14:textId="77777777" w:rsidTr="00030736">
        <w:trPr>
          <w:trHeight w:val="472"/>
        </w:trPr>
        <w:tc>
          <w:tcPr>
            <w:tcW w:w="1982" w:type="dxa"/>
            <w:tcBorders>
              <w:top w:val="dashed" w:sz="4" w:space="0" w:color="auto"/>
              <w:left w:val="single" w:sz="12" w:space="0" w:color="000000" w:themeColor="text1"/>
              <w:bottom w:val="single" w:sz="12" w:space="0" w:color="auto"/>
            </w:tcBorders>
          </w:tcPr>
          <w:p w14:paraId="01C3745C" w14:textId="77777777" w:rsidR="00A60A00" w:rsidRPr="00CF2D28" w:rsidRDefault="00A60A00" w:rsidP="00723918">
            <w:pPr>
              <w:spacing w:line="360" w:lineRule="auto"/>
              <w:rPr>
                <w:sz w:val="18"/>
                <w:szCs w:val="20"/>
              </w:rPr>
            </w:pPr>
          </w:p>
        </w:tc>
        <w:tc>
          <w:tcPr>
            <w:tcW w:w="2536" w:type="dxa"/>
            <w:vMerge/>
            <w:tcBorders>
              <w:bottom w:val="single" w:sz="12" w:space="0" w:color="auto"/>
            </w:tcBorders>
          </w:tcPr>
          <w:p w14:paraId="01C3745D" w14:textId="77777777" w:rsidR="00A60A00" w:rsidRPr="00CF2D28" w:rsidRDefault="00A60A00" w:rsidP="00723918">
            <w:pPr>
              <w:spacing w:line="360" w:lineRule="auto"/>
              <w:rPr>
                <w:sz w:val="18"/>
                <w:szCs w:val="20"/>
              </w:rPr>
            </w:pPr>
          </w:p>
        </w:tc>
        <w:tc>
          <w:tcPr>
            <w:tcW w:w="863" w:type="dxa"/>
            <w:vMerge/>
            <w:tcBorders>
              <w:bottom w:val="single" w:sz="12" w:space="0" w:color="auto"/>
            </w:tcBorders>
          </w:tcPr>
          <w:p w14:paraId="01C3745E" w14:textId="77777777" w:rsidR="00A60A00" w:rsidRPr="00CF2D28" w:rsidRDefault="00A60A00" w:rsidP="00723918">
            <w:pPr>
              <w:spacing w:before="120" w:line="360" w:lineRule="auto"/>
              <w:jc w:val="right"/>
              <w:rPr>
                <w:rFonts w:eastAsia="Times New Roman"/>
                <w:color w:val="000000"/>
                <w:sz w:val="18"/>
                <w:szCs w:val="20"/>
              </w:rPr>
            </w:pPr>
          </w:p>
        </w:tc>
        <w:tc>
          <w:tcPr>
            <w:tcW w:w="1027" w:type="dxa"/>
            <w:vMerge/>
            <w:tcBorders>
              <w:bottom w:val="single" w:sz="12" w:space="0" w:color="auto"/>
            </w:tcBorders>
            <w:vAlign w:val="center"/>
          </w:tcPr>
          <w:p w14:paraId="01C3745F" w14:textId="77777777" w:rsidR="00A60A00" w:rsidRPr="002B4E56" w:rsidRDefault="00A60A00" w:rsidP="00C84527">
            <w:pPr>
              <w:spacing w:before="120" w:line="360" w:lineRule="auto"/>
              <w:jc w:val="center"/>
              <w:rPr>
                <w:rFonts w:eastAsia="Times New Roman"/>
                <w:color w:val="000000"/>
                <w:sz w:val="14"/>
                <w:szCs w:val="14"/>
              </w:rPr>
            </w:pPr>
          </w:p>
        </w:tc>
        <w:tc>
          <w:tcPr>
            <w:tcW w:w="1170" w:type="dxa"/>
            <w:vMerge/>
            <w:tcBorders>
              <w:bottom w:val="single" w:sz="12" w:space="0" w:color="auto"/>
            </w:tcBorders>
            <w:vAlign w:val="center"/>
          </w:tcPr>
          <w:p w14:paraId="01C37460" w14:textId="77777777" w:rsidR="00A60A00" w:rsidRPr="002B4E56" w:rsidRDefault="00A60A00" w:rsidP="00C84527">
            <w:pPr>
              <w:spacing w:line="360" w:lineRule="auto"/>
              <w:jc w:val="center"/>
              <w:rPr>
                <w:rFonts w:eastAsia="Times New Roman"/>
                <w:color w:val="000000"/>
                <w:sz w:val="14"/>
                <w:szCs w:val="14"/>
              </w:rPr>
            </w:pPr>
          </w:p>
        </w:tc>
        <w:tc>
          <w:tcPr>
            <w:tcW w:w="1080" w:type="dxa"/>
            <w:vMerge/>
            <w:tcBorders>
              <w:bottom w:val="single" w:sz="12" w:space="0" w:color="auto"/>
            </w:tcBorders>
            <w:vAlign w:val="center"/>
          </w:tcPr>
          <w:p w14:paraId="01C37461" w14:textId="77777777" w:rsidR="00A60A00" w:rsidRPr="002B4E56" w:rsidRDefault="00A60A00" w:rsidP="00723918">
            <w:pPr>
              <w:spacing w:line="360" w:lineRule="auto"/>
              <w:jc w:val="right"/>
              <w:rPr>
                <w:rFonts w:eastAsia="Times New Roman"/>
                <w:color w:val="000000"/>
                <w:sz w:val="14"/>
                <w:szCs w:val="14"/>
              </w:rPr>
            </w:pPr>
          </w:p>
        </w:tc>
        <w:tc>
          <w:tcPr>
            <w:tcW w:w="3783" w:type="dxa"/>
            <w:vMerge/>
            <w:tcBorders>
              <w:bottom w:val="single" w:sz="12" w:space="0" w:color="auto"/>
            </w:tcBorders>
          </w:tcPr>
          <w:p w14:paraId="01C37462" w14:textId="77777777" w:rsidR="00A60A00" w:rsidRPr="00CF2D28" w:rsidRDefault="00A60A00" w:rsidP="00723918">
            <w:pPr>
              <w:spacing w:line="360" w:lineRule="auto"/>
              <w:rPr>
                <w:sz w:val="18"/>
                <w:szCs w:val="20"/>
              </w:rPr>
            </w:pPr>
          </w:p>
        </w:tc>
        <w:tc>
          <w:tcPr>
            <w:tcW w:w="717" w:type="dxa"/>
            <w:vMerge/>
            <w:tcBorders>
              <w:bottom w:val="single" w:sz="12" w:space="0" w:color="auto"/>
              <w:right w:val="single" w:sz="12" w:space="0" w:color="000000" w:themeColor="text1"/>
            </w:tcBorders>
          </w:tcPr>
          <w:p w14:paraId="01C37463" w14:textId="77777777" w:rsidR="00A60A00" w:rsidRPr="00CF2D28" w:rsidRDefault="00A60A00" w:rsidP="00723918">
            <w:pPr>
              <w:spacing w:line="360" w:lineRule="auto"/>
              <w:rPr>
                <w:sz w:val="18"/>
                <w:szCs w:val="20"/>
              </w:rPr>
            </w:pPr>
          </w:p>
        </w:tc>
      </w:tr>
      <w:tr w:rsidR="00C84527" w:rsidRPr="005E4993" w14:paraId="01C37482" w14:textId="77777777" w:rsidTr="00030736">
        <w:trPr>
          <w:trHeight w:val="473"/>
        </w:trPr>
        <w:tc>
          <w:tcPr>
            <w:tcW w:w="1982" w:type="dxa"/>
            <w:tcBorders>
              <w:top w:val="single" w:sz="12" w:space="0" w:color="auto"/>
              <w:left w:val="single" w:sz="12" w:space="0" w:color="000000" w:themeColor="text1"/>
              <w:bottom w:val="dashed" w:sz="4" w:space="0" w:color="auto"/>
            </w:tcBorders>
          </w:tcPr>
          <w:p w14:paraId="01C37465" w14:textId="77777777" w:rsidR="00A60A00" w:rsidRPr="00CF2D28" w:rsidRDefault="00A60A00" w:rsidP="00723918">
            <w:pPr>
              <w:spacing w:line="360" w:lineRule="auto"/>
              <w:rPr>
                <w:sz w:val="18"/>
                <w:szCs w:val="20"/>
              </w:rPr>
            </w:pPr>
          </w:p>
        </w:tc>
        <w:tc>
          <w:tcPr>
            <w:tcW w:w="2536" w:type="dxa"/>
            <w:vMerge w:val="restart"/>
            <w:tcBorders>
              <w:top w:val="single" w:sz="12" w:space="0" w:color="auto"/>
            </w:tcBorders>
          </w:tcPr>
          <w:p w14:paraId="01C37466" w14:textId="77777777" w:rsidR="00A60A00" w:rsidRPr="00CF2D28" w:rsidRDefault="00A60A00" w:rsidP="00723918">
            <w:pPr>
              <w:spacing w:line="360" w:lineRule="auto"/>
              <w:rPr>
                <w:sz w:val="18"/>
                <w:szCs w:val="20"/>
              </w:rPr>
            </w:pPr>
          </w:p>
        </w:tc>
        <w:tc>
          <w:tcPr>
            <w:tcW w:w="863" w:type="dxa"/>
            <w:vMerge w:val="restart"/>
            <w:tcBorders>
              <w:top w:val="single" w:sz="12" w:space="0" w:color="auto"/>
            </w:tcBorders>
          </w:tcPr>
          <w:p w14:paraId="01C37467" w14:textId="77777777" w:rsidR="00A60A00" w:rsidRPr="00CF2D28" w:rsidRDefault="00A60A00" w:rsidP="00247F32">
            <w:pPr>
              <w:ind w:left="-54"/>
              <w:jc w:val="right"/>
              <w:rPr>
                <w:rFonts w:eastAsia="Times New Roman"/>
                <w:color w:val="000000"/>
                <w:sz w:val="18"/>
                <w:szCs w:val="20"/>
              </w:rPr>
            </w:pPr>
          </w:p>
        </w:tc>
        <w:tc>
          <w:tcPr>
            <w:tcW w:w="1027"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A60A00" w:rsidRPr="002B4E56" w14:paraId="01C3746A" w14:textId="77777777" w:rsidTr="00C84527">
              <w:trPr>
                <w:trHeight w:hRule="exact" w:val="216"/>
                <w:tblCellSpacing w:w="14" w:type="dxa"/>
              </w:trPr>
              <w:tc>
                <w:tcPr>
                  <w:tcW w:w="601" w:type="dxa"/>
                  <w:vAlign w:val="center"/>
                </w:tcPr>
                <w:p w14:paraId="01C37468" w14:textId="77777777" w:rsidR="00A60A00" w:rsidRPr="002B4E56" w:rsidRDefault="00A60A00" w:rsidP="00C84527">
                  <w:pPr>
                    <w:ind w:left="-54"/>
                    <w:jc w:val="center"/>
                    <w:rPr>
                      <w:rFonts w:eastAsia="Times New Roman"/>
                      <w:color w:val="000000"/>
                      <w:sz w:val="14"/>
                      <w:szCs w:val="14"/>
                    </w:rPr>
                  </w:pPr>
                  <w:r w:rsidRPr="002B4E56">
                    <w:rPr>
                      <w:rFonts w:eastAsia="Times New Roman"/>
                      <w:color w:val="000000"/>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69" w14:textId="77777777" w:rsidR="00A60A00" w:rsidRPr="002B4E56" w:rsidRDefault="00A60A00" w:rsidP="00C84527">
                  <w:pPr>
                    <w:jc w:val="center"/>
                    <w:rPr>
                      <w:rFonts w:eastAsia="Times New Roman"/>
                      <w:color w:val="000000"/>
                      <w:sz w:val="14"/>
                      <w:szCs w:val="14"/>
                    </w:rPr>
                  </w:pPr>
                </w:p>
              </w:tc>
            </w:tr>
            <w:tr w:rsidR="00A60A00" w:rsidRPr="002B4E56" w14:paraId="01C3746D" w14:textId="77777777" w:rsidTr="00C84527">
              <w:trPr>
                <w:trHeight w:hRule="exact" w:val="216"/>
                <w:tblCellSpacing w:w="14" w:type="dxa"/>
              </w:trPr>
              <w:tc>
                <w:tcPr>
                  <w:tcW w:w="601" w:type="dxa"/>
                  <w:vAlign w:val="center"/>
                </w:tcPr>
                <w:p w14:paraId="01C3746B" w14:textId="77777777" w:rsidR="00A60A00" w:rsidRPr="002B4E56" w:rsidRDefault="00A60A00" w:rsidP="00C84527">
                  <w:pPr>
                    <w:ind w:left="-54"/>
                    <w:jc w:val="center"/>
                    <w:rPr>
                      <w:rFonts w:eastAsia="Times New Roman"/>
                      <w:color w:val="000000"/>
                      <w:sz w:val="14"/>
                      <w:szCs w:val="14"/>
                    </w:rPr>
                  </w:pPr>
                  <w:r w:rsidRPr="002B4E56">
                    <w:rPr>
                      <w:rFonts w:eastAsia="Times New Roman"/>
                      <w:color w:val="000000"/>
                      <w:sz w:val="14"/>
                      <w:szCs w:val="14"/>
                    </w:rPr>
                    <w:t>No</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6C" w14:textId="77777777" w:rsidR="00A60A00" w:rsidRPr="002B4E56" w:rsidRDefault="00A60A00" w:rsidP="00C84527">
                  <w:pPr>
                    <w:jc w:val="center"/>
                    <w:rPr>
                      <w:rFonts w:eastAsia="Times New Roman"/>
                      <w:color w:val="000000"/>
                      <w:sz w:val="14"/>
                      <w:szCs w:val="14"/>
                    </w:rPr>
                  </w:pPr>
                </w:p>
              </w:tc>
            </w:tr>
            <w:tr w:rsidR="00A60A00" w:rsidRPr="002B4E56" w14:paraId="01C37470" w14:textId="77777777" w:rsidTr="00C84527">
              <w:trPr>
                <w:trHeight w:hRule="exact" w:val="216"/>
                <w:tblCellSpacing w:w="14" w:type="dxa"/>
              </w:trPr>
              <w:tc>
                <w:tcPr>
                  <w:tcW w:w="601" w:type="dxa"/>
                  <w:vAlign w:val="center"/>
                </w:tcPr>
                <w:p w14:paraId="01C3746E" w14:textId="322EE1F5" w:rsidR="00A60A00" w:rsidRPr="002B4E56" w:rsidRDefault="00BE6376" w:rsidP="00C84527">
                  <w:pPr>
                    <w:jc w:val="center"/>
                    <w:rPr>
                      <w:rFonts w:eastAsia="Times New Roman"/>
                      <w:color w:val="000000"/>
                      <w:sz w:val="14"/>
                      <w:szCs w:val="14"/>
                    </w:rPr>
                  </w:pPr>
                  <w:r w:rsidRPr="002B4E56">
                    <w:rPr>
                      <w:rFonts w:eastAsia="Times New Roman"/>
                      <w:color w:val="000000"/>
                      <w:sz w:val="14"/>
                      <w:szCs w:val="14"/>
                    </w:rPr>
                    <w:t>Yes, by</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6F" w14:textId="77777777" w:rsidR="00A60A00" w:rsidRPr="002B4E56" w:rsidRDefault="00A60A00" w:rsidP="00C84527">
                  <w:pPr>
                    <w:jc w:val="center"/>
                    <w:rPr>
                      <w:rFonts w:eastAsia="Times New Roman"/>
                      <w:color w:val="000000"/>
                      <w:sz w:val="14"/>
                      <w:szCs w:val="14"/>
                    </w:rPr>
                  </w:pPr>
                </w:p>
              </w:tc>
            </w:tr>
          </w:tbl>
          <w:p w14:paraId="01C37471" w14:textId="7AF91454" w:rsidR="00A60A00" w:rsidRPr="002B4E56" w:rsidRDefault="00BE6376" w:rsidP="00C84527">
            <w:pPr>
              <w:spacing w:line="360" w:lineRule="auto"/>
              <w:jc w:val="center"/>
              <w:rPr>
                <w:rFonts w:eastAsia="Times New Roman"/>
                <w:color w:val="000000"/>
                <w:sz w:val="14"/>
                <w:szCs w:val="14"/>
              </w:rPr>
            </w:pPr>
            <w:r w:rsidRPr="002B4E56">
              <w:rPr>
                <w:rFonts w:eastAsia="Times New Roman"/>
                <w:color w:val="000000"/>
                <w:sz w:val="14"/>
                <w:szCs w:val="14"/>
              </w:rPr>
              <w:t>Exemption</w:t>
            </w:r>
          </w:p>
        </w:tc>
        <w:tc>
          <w:tcPr>
            <w:tcW w:w="117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A60A00" w:rsidRPr="002B4E56" w14:paraId="01C37474" w14:textId="77777777" w:rsidTr="00C84527">
              <w:trPr>
                <w:trHeight w:hRule="exact" w:val="216"/>
                <w:tblCellSpacing w:w="14" w:type="dxa"/>
              </w:trPr>
              <w:tc>
                <w:tcPr>
                  <w:tcW w:w="601" w:type="dxa"/>
                  <w:vAlign w:val="center"/>
                </w:tcPr>
                <w:p w14:paraId="01C37472" w14:textId="77777777" w:rsidR="00A60A00" w:rsidRPr="002B4E56" w:rsidRDefault="00A60A00" w:rsidP="00C84527">
                  <w:pPr>
                    <w:ind w:left="-54"/>
                    <w:jc w:val="center"/>
                    <w:rPr>
                      <w:rFonts w:eastAsia="Times New Roman"/>
                      <w:color w:val="000000"/>
                      <w:sz w:val="14"/>
                      <w:szCs w:val="14"/>
                    </w:rPr>
                  </w:pPr>
                  <w:r w:rsidRPr="002B4E56">
                    <w:rPr>
                      <w:rFonts w:eastAsia="Times New Roman"/>
                      <w:color w:val="000000"/>
                      <w:sz w:val="14"/>
                      <w:szCs w:val="14"/>
                    </w:rPr>
                    <w:t>None</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73" w14:textId="77777777" w:rsidR="00A60A00" w:rsidRPr="002B4E56" w:rsidRDefault="00A60A00" w:rsidP="00C84527">
                  <w:pPr>
                    <w:jc w:val="center"/>
                    <w:rPr>
                      <w:rFonts w:eastAsia="Times New Roman"/>
                      <w:color w:val="000000"/>
                      <w:sz w:val="14"/>
                      <w:szCs w:val="14"/>
                    </w:rPr>
                  </w:pPr>
                </w:p>
              </w:tc>
            </w:tr>
            <w:tr w:rsidR="00A60A00" w:rsidRPr="002B4E56" w14:paraId="01C37477" w14:textId="77777777" w:rsidTr="00C84527">
              <w:trPr>
                <w:trHeight w:hRule="exact" w:val="216"/>
                <w:tblCellSpacing w:w="14" w:type="dxa"/>
              </w:trPr>
              <w:tc>
                <w:tcPr>
                  <w:tcW w:w="601" w:type="dxa"/>
                  <w:vAlign w:val="center"/>
                </w:tcPr>
                <w:p w14:paraId="01C37475" w14:textId="77777777" w:rsidR="00A60A00" w:rsidRPr="002B4E56" w:rsidRDefault="00A60A00" w:rsidP="00C84527">
                  <w:pPr>
                    <w:ind w:left="-54"/>
                    <w:jc w:val="center"/>
                    <w:rPr>
                      <w:rFonts w:eastAsia="Times New Roman"/>
                      <w:color w:val="000000"/>
                      <w:sz w:val="14"/>
                      <w:szCs w:val="14"/>
                    </w:rPr>
                  </w:pPr>
                  <w:r w:rsidRPr="002B4E56">
                    <w:rPr>
                      <w:rFonts w:eastAsia="Times New Roman"/>
                      <w:color w:val="000000"/>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76" w14:textId="77777777" w:rsidR="00A60A00" w:rsidRPr="002B4E56" w:rsidRDefault="00A60A00" w:rsidP="00C84527">
                  <w:pPr>
                    <w:jc w:val="center"/>
                    <w:rPr>
                      <w:rFonts w:eastAsia="Times New Roman"/>
                      <w:color w:val="000000"/>
                      <w:sz w:val="14"/>
                      <w:szCs w:val="14"/>
                    </w:rPr>
                  </w:pPr>
                </w:p>
              </w:tc>
            </w:tr>
          </w:tbl>
          <w:p w14:paraId="01C37478" w14:textId="77777777" w:rsidR="00A60A00" w:rsidRPr="002B4E56" w:rsidRDefault="00A60A00" w:rsidP="00C84527">
            <w:pPr>
              <w:spacing w:line="360" w:lineRule="auto"/>
              <w:jc w:val="center"/>
              <w:rPr>
                <w:rFonts w:eastAsia="Times New Roman"/>
                <w:color w:val="000000"/>
                <w:sz w:val="14"/>
                <w:szCs w:val="14"/>
              </w:rPr>
            </w:pPr>
          </w:p>
        </w:tc>
        <w:tc>
          <w:tcPr>
            <w:tcW w:w="108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A60A00" w:rsidRPr="002B4E56" w14:paraId="01C3747B" w14:textId="77777777" w:rsidTr="00C84527">
              <w:trPr>
                <w:trHeight w:hRule="exact" w:val="216"/>
                <w:tblCellSpacing w:w="14" w:type="dxa"/>
              </w:trPr>
              <w:tc>
                <w:tcPr>
                  <w:tcW w:w="601" w:type="dxa"/>
                  <w:vAlign w:val="center"/>
                </w:tcPr>
                <w:p w14:paraId="01C37479" w14:textId="77777777" w:rsidR="00A60A00" w:rsidRPr="002B4E56" w:rsidRDefault="00A60A00" w:rsidP="00247F32">
                  <w:pPr>
                    <w:ind w:left="-54"/>
                    <w:jc w:val="right"/>
                    <w:rPr>
                      <w:rFonts w:eastAsia="Times New Roman"/>
                      <w:color w:val="000000"/>
                      <w:sz w:val="14"/>
                      <w:szCs w:val="14"/>
                    </w:rPr>
                  </w:pPr>
                  <w:r w:rsidRPr="002B4E56">
                    <w:rPr>
                      <w:rFonts w:eastAsia="Times New Roman"/>
                      <w:color w:val="000000"/>
                      <w:sz w:val="14"/>
                      <w:szCs w:val="14"/>
                    </w:rPr>
                    <w:t>None</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7A" w14:textId="77777777" w:rsidR="00A60A00" w:rsidRPr="002B4E56" w:rsidRDefault="00A60A00" w:rsidP="00247F32">
                  <w:pPr>
                    <w:jc w:val="center"/>
                    <w:rPr>
                      <w:rFonts w:eastAsia="Times New Roman"/>
                      <w:color w:val="000000"/>
                      <w:sz w:val="14"/>
                      <w:szCs w:val="14"/>
                    </w:rPr>
                  </w:pPr>
                </w:p>
              </w:tc>
            </w:tr>
            <w:tr w:rsidR="00A60A00" w:rsidRPr="002B4E56" w14:paraId="01C3747E" w14:textId="77777777" w:rsidTr="00C84527">
              <w:trPr>
                <w:trHeight w:hRule="exact" w:val="216"/>
                <w:tblCellSpacing w:w="14" w:type="dxa"/>
              </w:trPr>
              <w:tc>
                <w:tcPr>
                  <w:tcW w:w="601" w:type="dxa"/>
                  <w:vAlign w:val="center"/>
                </w:tcPr>
                <w:p w14:paraId="01C3747C" w14:textId="77777777" w:rsidR="00A60A00" w:rsidRPr="002B4E56" w:rsidRDefault="00A60A00" w:rsidP="00247F32">
                  <w:pPr>
                    <w:ind w:left="-54"/>
                    <w:jc w:val="right"/>
                    <w:rPr>
                      <w:rFonts w:eastAsia="Times New Roman"/>
                      <w:color w:val="000000"/>
                      <w:sz w:val="14"/>
                      <w:szCs w:val="14"/>
                    </w:rPr>
                  </w:pPr>
                  <w:r w:rsidRPr="002B4E56">
                    <w:rPr>
                      <w:rFonts w:eastAsia="Times New Roman"/>
                      <w:color w:val="000000"/>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7D" w14:textId="77777777" w:rsidR="00A60A00" w:rsidRPr="002B4E56" w:rsidRDefault="00A60A00" w:rsidP="00247F32">
                  <w:pPr>
                    <w:rPr>
                      <w:rFonts w:eastAsia="Times New Roman"/>
                      <w:color w:val="000000"/>
                      <w:sz w:val="14"/>
                      <w:szCs w:val="14"/>
                    </w:rPr>
                  </w:pPr>
                </w:p>
              </w:tc>
            </w:tr>
          </w:tbl>
          <w:p w14:paraId="01C3747F" w14:textId="77777777" w:rsidR="00A60A00" w:rsidRPr="002B4E56" w:rsidRDefault="00A60A00" w:rsidP="00247F32">
            <w:pPr>
              <w:spacing w:line="360" w:lineRule="auto"/>
              <w:jc w:val="center"/>
              <w:rPr>
                <w:rFonts w:eastAsia="Times New Roman"/>
                <w:color w:val="000000"/>
                <w:sz w:val="14"/>
                <w:szCs w:val="14"/>
              </w:rPr>
            </w:pPr>
          </w:p>
        </w:tc>
        <w:tc>
          <w:tcPr>
            <w:tcW w:w="3783" w:type="dxa"/>
            <w:vMerge w:val="restart"/>
            <w:tcBorders>
              <w:top w:val="single" w:sz="12" w:space="0" w:color="auto"/>
            </w:tcBorders>
          </w:tcPr>
          <w:p w14:paraId="01C37480" w14:textId="77777777" w:rsidR="00A60A00" w:rsidRPr="00CF2D28" w:rsidRDefault="00A60A00" w:rsidP="00723918">
            <w:pPr>
              <w:spacing w:line="360" w:lineRule="auto"/>
              <w:rPr>
                <w:sz w:val="18"/>
                <w:szCs w:val="20"/>
              </w:rPr>
            </w:pPr>
          </w:p>
        </w:tc>
        <w:tc>
          <w:tcPr>
            <w:tcW w:w="717" w:type="dxa"/>
            <w:vMerge w:val="restart"/>
            <w:tcBorders>
              <w:top w:val="single" w:sz="12" w:space="0" w:color="auto"/>
              <w:right w:val="single" w:sz="12" w:space="0" w:color="000000" w:themeColor="text1"/>
            </w:tcBorders>
          </w:tcPr>
          <w:p w14:paraId="01C37481" w14:textId="77777777" w:rsidR="00A60A00" w:rsidRPr="00CF2D28" w:rsidRDefault="00A60A00" w:rsidP="00723918">
            <w:pPr>
              <w:spacing w:line="360" w:lineRule="auto"/>
              <w:rPr>
                <w:sz w:val="18"/>
                <w:szCs w:val="20"/>
              </w:rPr>
            </w:pPr>
          </w:p>
        </w:tc>
      </w:tr>
      <w:tr w:rsidR="00C84527" w:rsidRPr="005E4993" w14:paraId="01C3748B" w14:textId="77777777" w:rsidTr="00030736">
        <w:trPr>
          <w:trHeight w:val="472"/>
        </w:trPr>
        <w:tc>
          <w:tcPr>
            <w:tcW w:w="1982" w:type="dxa"/>
            <w:tcBorders>
              <w:top w:val="dashed" w:sz="4" w:space="0" w:color="auto"/>
              <w:left w:val="single" w:sz="12" w:space="0" w:color="000000" w:themeColor="text1"/>
              <w:bottom w:val="single" w:sz="12" w:space="0" w:color="auto"/>
            </w:tcBorders>
          </w:tcPr>
          <w:p w14:paraId="01C37483" w14:textId="77777777" w:rsidR="00A60A00" w:rsidRPr="00CF2D28" w:rsidRDefault="00A60A00" w:rsidP="00723918">
            <w:pPr>
              <w:spacing w:line="360" w:lineRule="auto"/>
              <w:rPr>
                <w:sz w:val="18"/>
                <w:szCs w:val="20"/>
              </w:rPr>
            </w:pPr>
          </w:p>
        </w:tc>
        <w:tc>
          <w:tcPr>
            <w:tcW w:w="2536" w:type="dxa"/>
            <w:vMerge/>
            <w:tcBorders>
              <w:bottom w:val="single" w:sz="12" w:space="0" w:color="auto"/>
            </w:tcBorders>
          </w:tcPr>
          <w:p w14:paraId="01C37484" w14:textId="77777777" w:rsidR="00A60A00" w:rsidRPr="00CF2D28" w:rsidRDefault="00A60A00" w:rsidP="00723918">
            <w:pPr>
              <w:spacing w:line="360" w:lineRule="auto"/>
              <w:rPr>
                <w:sz w:val="18"/>
                <w:szCs w:val="20"/>
              </w:rPr>
            </w:pPr>
          </w:p>
        </w:tc>
        <w:tc>
          <w:tcPr>
            <w:tcW w:w="863" w:type="dxa"/>
            <w:vMerge/>
            <w:tcBorders>
              <w:bottom w:val="single" w:sz="12" w:space="0" w:color="auto"/>
            </w:tcBorders>
          </w:tcPr>
          <w:p w14:paraId="01C37485" w14:textId="77777777" w:rsidR="00A60A00" w:rsidRPr="00CF2D28" w:rsidRDefault="00A60A00" w:rsidP="00723918">
            <w:pPr>
              <w:spacing w:before="120" w:line="360" w:lineRule="auto"/>
              <w:jc w:val="right"/>
              <w:rPr>
                <w:rFonts w:eastAsia="Times New Roman"/>
                <w:color w:val="000000"/>
                <w:sz w:val="18"/>
                <w:szCs w:val="20"/>
              </w:rPr>
            </w:pPr>
          </w:p>
        </w:tc>
        <w:tc>
          <w:tcPr>
            <w:tcW w:w="1027" w:type="dxa"/>
            <w:vMerge/>
            <w:tcBorders>
              <w:bottom w:val="single" w:sz="12" w:space="0" w:color="auto"/>
            </w:tcBorders>
            <w:vAlign w:val="center"/>
          </w:tcPr>
          <w:p w14:paraId="01C37486" w14:textId="77777777" w:rsidR="00A60A00" w:rsidRPr="002B4E56" w:rsidRDefault="00A60A00" w:rsidP="00C84527">
            <w:pPr>
              <w:spacing w:before="120" w:line="360" w:lineRule="auto"/>
              <w:jc w:val="center"/>
              <w:rPr>
                <w:rFonts w:eastAsia="Times New Roman"/>
                <w:color w:val="000000"/>
                <w:sz w:val="14"/>
                <w:szCs w:val="14"/>
              </w:rPr>
            </w:pPr>
          </w:p>
        </w:tc>
        <w:tc>
          <w:tcPr>
            <w:tcW w:w="1170" w:type="dxa"/>
            <w:vMerge/>
            <w:tcBorders>
              <w:bottom w:val="single" w:sz="12" w:space="0" w:color="auto"/>
            </w:tcBorders>
            <w:vAlign w:val="center"/>
          </w:tcPr>
          <w:p w14:paraId="01C37487" w14:textId="77777777" w:rsidR="00A60A00" w:rsidRPr="002B4E56" w:rsidRDefault="00A60A00" w:rsidP="00C84527">
            <w:pPr>
              <w:spacing w:line="360" w:lineRule="auto"/>
              <w:jc w:val="center"/>
              <w:rPr>
                <w:rFonts w:eastAsia="Times New Roman"/>
                <w:color w:val="000000"/>
                <w:sz w:val="14"/>
                <w:szCs w:val="14"/>
              </w:rPr>
            </w:pPr>
          </w:p>
        </w:tc>
        <w:tc>
          <w:tcPr>
            <w:tcW w:w="1080" w:type="dxa"/>
            <w:vMerge/>
            <w:tcBorders>
              <w:bottom w:val="single" w:sz="12" w:space="0" w:color="auto"/>
            </w:tcBorders>
            <w:vAlign w:val="center"/>
          </w:tcPr>
          <w:p w14:paraId="01C37488" w14:textId="77777777" w:rsidR="00A60A00" w:rsidRPr="002B4E56" w:rsidRDefault="00A60A00" w:rsidP="00723918">
            <w:pPr>
              <w:spacing w:line="360" w:lineRule="auto"/>
              <w:jc w:val="right"/>
              <w:rPr>
                <w:rFonts w:eastAsia="Times New Roman"/>
                <w:color w:val="000000"/>
                <w:sz w:val="14"/>
                <w:szCs w:val="14"/>
              </w:rPr>
            </w:pPr>
          </w:p>
        </w:tc>
        <w:tc>
          <w:tcPr>
            <w:tcW w:w="3783" w:type="dxa"/>
            <w:vMerge/>
            <w:tcBorders>
              <w:bottom w:val="single" w:sz="12" w:space="0" w:color="auto"/>
            </w:tcBorders>
          </w:tcPr>
          <w:p w14:paraId="01C37489" w14:textId="77777777" w:rsidR="00A60A00" w:rsidRPr="00CF2D28" w:rsidRDefault="00A60A00" w:rsidP="00723918">
            <w:pPr>
              <w:spacing w:line="360" w:lineRule="auto"/>
              <w:rPr>
                <w:sz w:val="18"/>
                <w:szCs w:val="20"/>
              </w:rPr>
            </w:pPr>
          </w:p>
        </w:tc>
        <w:tc>
          <w:tcPr>
            <w:tcW w:w="717" w:type="dxa"/>
            <w:vMerge/>
            <w:tcBorders>
              <w:bottom w:val="single" w:sz="12" w:space="0" w:color="auto"/>
              <w:right w:val="single" w:sz="12" w:space="0" w:color="000000" w:themeColor="text1"/>
            </w:tcBorders>
          </w:tcPr>
          <w:p w14:paraId="01C3748A" w14:textId="77777777" w:rsidR="00A60A00" w:rsidRPr="00CF2D28" w:rsidRDefault="00A60A00" w:rsidP="00723918">
            <w:pPr>
              <w:spacing w:line="360" w:lineRule="auto"/>
              <w:rPr>
                <w:sz w:val="18"/>
                <w:szCs w:val="20"/>
              </w:rPr>
            </w:pPr>
          </w:p>
        </w:tc>
      </w:tr>
      <w:tr w:rsidR="00C84527" w:rsidRPr="005E4993" w14:paraId="01C374A9" w14:textId="77777777" w:rsidTr="00030736">
        <w:trPr>
          <w:trHeight w:val="473"/>
        </w:trPr>
        <w:tc>
          <w:tcPr>
            <w:tcW w:w="1982" w:type="dxa"/>
            <w:tcBorders>
              <w:top w:val="single" w:sz="12" w:space="0" w:color="auto"/>
              <w:left w:val="single" w:sz="12" w:space="0" w:color="000000" w:themeColor="text1"/>
              <w:bottom w:val="dashed" w:sz="4" w:space="0" w:color="auto"/>
            </w:tcBorders>
          </w:tcPr>
          <w:p w14:paraId="01C3748C" w14:textId="77777777" w:rsidR="00A60A00" w:rsidRPr="00CF2D28" w:rsidRDefault="00A60A00" w:rsidP="00723918">
            <w:pPr>
              <w:spacing w:line="360" w:lineRule="auto"/>
              <w:rPr>
                <w:sz w:val="18"/>
                <w:szCs w:val="20"/>
              </w:rPr>
            </w:pPr>
          </w:p>
        </w:tc>
        <w:tc>
          <w:tcPr>
            <w:tcW w:w="2536" w:type="dxa"/>
            <w:vMerge w:val="restart"/>
            <w:tcBorders>
              <w:top w:val="single" w:sz="12" w:space="0" w:color="auto"/>
            </w:tcBorders>
          </w:tcPr>
          <w:p w14:paraId="01C3748D" w14:textId="77777777" w:rsidR="00A60A00" w:rsidRPr="00CF2D28" w:rsidRDefault="00A60A00" w:rsidP="00723918">
            <w:pPr>
              <w:spacing w:line="360" w:lineRule="auto"/>
              <w:rPr>
                <w:sz w:val="18"/>
                <w:szCs w:val="20"/>
              </w:rPr>
            </w:pPr>
          </w:p>
        </w:tc>
        <w:tc>
          <w:tcPr>
            <w:tcW w:w="863" w:type="dxa"/>
            <w:vMerge w:val="restart"/>
            <w:tcBorders>
              <w:top w:val="single" w:sz="12" w:space="0" w:color="auto"/>
            </w:tcBorders>
          </w:tcPr>
          <w:p w14:paraId="01C3748E" w14:textId="77777777" w:rsidR="00A60A00" w:rsidRPr="00CF2D28" w:rsidRDefault="00A60A00" w:rsidP="00247F32">
            <w:pPr>
              <w:ind w:left="-54"/>
              <w:jc w:val="right"/>
              <w:rPr>
                <w:rFonts w:eastAsia="Times New Roman"/>
                <w:color w:val="000000"/>
                <w:sz w:val="18"/>
                <w:szCs w:val="20"/>
              </w:rPr>
            </w:pPr>
          </w:p>
        </w:tc>
        <w:tc>
          <w:tcPr>
            <w:tcW w:w="1027"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A60A00" w:rsidRPr="002B4E56" w14:paraId="01C37491" w14:textId="77777777" w:rsidTr="00C84527">
              <w:trPr>
                <w:trHeight w:hRule="exact" w:val="216"/>
                <w:tblCellSpacing w:w="14" w:type="dxa"/>
              </w:trPr>
              <w:tc>
                <w:tcPr>
                  <w:tcW w:w="601" w:type="dxa"/>
                  <w:vAlign w:val="center"/>
                </w:tcPr>
                <w:p w14:paraId="01C3748F" w14:textId="77777777" w:rsidR="00A60A00" w:rsidRPr="002B4E56" w:rsidRDefault="00A60A00" w:rsidP="00C84527">
                  <w:pPr>
                    <w:ind w:left="-54"/>
                    <w:jc w:val="center"/>
                    <w:rPr>
                      <w:rFonts w:eastAsia="Times New Roman"/>
                      <w:color w:val="000000"/>
                      <w:sz w:val="14"/>
                      <w:szCs w:val="14"/>
                    </w:rPr>
                  </w:pPr>
                  <w:r w:rsidRPr="002B4E56">
                    <w:rPr>
                      <w:rFonts w:eastAsia="Times New Roman"/>
                      <w:color w:val="000000"/>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90" w14:textId="77777777" w:rsidR="00A60A00" w:rsidRPr="002B4E56" w:rsidRDefault="00A60A00" w:rsidP="00C84527">
                  <w:pPr>
                    <w:jc w:val="center"/>
                    <w:rPr>
                      <w:rFonts w:eastAsia="Times New Roman"/>
                      <w:color w:val="000000"/>
                      <w:sz w:val="14"/>
                      <w:szCs w:val="14"/>
                    </w:rPr>
                  </w:pPr>
                </w:p>
              </w:tc>
            </w:tr>
            <w:tr w:rsidR="00A60A00" w:rsidRPr="002B4E56" w14:paraId="01C37494" w14:textId="77777777" w:rsidTr="00C84527">
              <w:trPr>
                <w:trHeight w:hRule="exact" w:val="216"/>
                <w:tblCellSpacing w:w="14" w:type="dxa"/>
              </w:trPr>
              <w:tc>
                <w:tcPr>
                  <w:tcW w:w="601" w:type="dxa"/>
                  <w:vAlign w:val="center"/>
                </w:tcPr>
                <w:p w14:paraId="01C37492" w14:textId="77777777" w:rsidR="00A60A00" w:rsidRPr="002B4E56" w:rsidRDefault="00A60A00" w:rsidP="00C84527">
                  <w:pPr>
                    <w:ind w:left="-54"/>
                    <w:jc w:val="center"/>
                    <w:rPr>
                      <w:rFonts w:eastAsia="Times New Roman"/>
                      <w:color w:val="000000"/>
                      <w:sz w:val="14"/>
                      <w:szCs w:val="14"/>
                    </w:rPr>
                  </w:pPr>
                  <w:r w:rsidRPr="002B4E56">
                    <w:rPr>
                      <w:rFonts w:eastAsia="Times New Roman"/>
                      <w:color w:val="000000"/>
                      <w:sz w:val="14"/>
                      <w:szCs w:val="14"/>
                    </w:rPr>
                    <w:t>No</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93" w14:textId="77777777" w:rsidR="00A60A00" w:rsidRPr="002B4E56" w:rsidRDefault="00A60A00" w:rsidP="00C84527">
                  <w:pPr>
                    <w:jc w:val="center"/>
                    <w:rPr>
                      <w:rFonts w:eastAsia="Times New Roman"/>
                      <w:color w:val="000000"/>
                      <w:sz w:val="14"/>
                      <w:szCs w:val="14"/>
                    </w:rPr>
                  </w:pPr>
                </w:p>
              </w:tc>
            </w:tr>
            <w:tr w:rsidR="00A60A00" w:rsidRPr="002B4E56" w14:paraId="01C37497" w14:textId="77777777" w:rsidTr="00C84527">
              <w:trPr>
                <w:trHeight w:hRule="exact" w:val="216"/>
                <w:tblCellSpacing w:w="14" w:type="dxa"/>
              </w:trPr>
              <w:tc>
                <w:tcPr>
                  <w:tcW w:w="601" w:type="dxa"/>
                  <w:vAlign w:val="center"/>
                </w:tcPr>
                <w:p w14:paraId="01C37495" w14:textId="659DE71F" w:rsidR="00A60A00" w:rsidRPr="002B4E56" w:rsidRDefault="00BE6376" w:rsidP="00C84527">
                  <w:pPr>
                    <w:jc w:val="center"/>
                    <w:rPr>
                      <w:rFonts w:eastAsia="Times New Roman"/>
                      <w:color w:val="000000"/>
                      <w:sz w:val="14"/>
                      <w:szCs w:val="14"/>
                    </w:rPr>
                  </w:pPr>
                  <w:r w:rsidRPr="002B4E56">
                    <w:rPr>
                      <w:rFonts w:eastAsia="Times New Roman"/>
                      <w:color w:val="000000"/>
                      <w:sz w:val="14"/>
                      <w:szCs w:val="14"/>
                    </w:rPr>
                    <w:t>Yes, by</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96" w14:textId="77777777" w:rsidR="00A60A00" w:rsidRPr="002B4E56" w:rsidRDefault="00A60A00" w:rsidP="00C84527">
                  <w:pPr>
                    <w:jc w:val="center"/>
                    <w:rPr>
                      <w:rFonts w:eastAsia="Times New Roman"/>
                      <w:color w:val="000000"/>
                      <w:sz w:val="14"/>
                      <w:szCs w:val="14"/>
                    </w:rPr>
                  </w:pPr>
                </w:p>
              </w:tc>
            </w:tr>
          </w:tbl>
          <w:p w14:paraId="01C37498" w14:textId="4B9F3EC8" w:rsidR="00A60A00" w:rsidRPr="002B4E56" w:rsidRDefault="00BE6376" w:rsidP="00C84527">
            <w:pPr>
              <w:spacing w:line="360" w:lineRule="auto"/>
              <w:jc w:val="center"/>
              <w:rPr>
                <w:rFonts w:eastAsia="Times New Roman"/>
                <w:color w:val="000000"/>
                <w:sz w:val="14"/>
                <w:szCs w:val="14"/>
              </w:rPr>
            </w:pPr>
            <w:r w:rsidRPr="002B4E56">
              <w:rPr>
                <w:rFonts w:eastAsia="Times New Roman"/>
                <w:color w:val="000000"/>
                <w:sz w:val="14"/>
                <w:szCs w:val="14"/>
              </w:rPr>
              <w:t>Exemption</w:t>
            </w:r>
          </w:p>
        </w:tc>
        <w:tc>
          <w:tcPr>
            <w:tcW w:w="117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A60A00" w:rsidRPr="002B4E56" w14:paraId="01C3749B" w14:textId="77777777" w:rsidTr="00C84527">
              <w:trPr>
                <w:trHeight w:hRule="exact" w:val="216"/>
                <w:tblCellSpacing w:w="14" w:type="dxa"/>
              </w:trPr>
              <w:tc>
                <w:tcPr>
                  <w:tcW w:w="601" w:type="dxa"/>
                  <w:vAlign w:val="center"/>
                </w:tcPr>
                <w:p w14:paraId="01C37499" w14:textId="77777777" w:rsidR="00A60A00" w:rsidRPr="002B4E56" w:rsidRDefault="00A60A00" w:rsidP="00C84527">
                  <w:pPr>
                    <w:ind w:left="-54"/>
                    <w:jc w:val="center"/>
                    <w:rPr>
                      <w:rFonts w:eastAsia="Times New Roman"/>
                      <w:color w:val="000000"/>
                      <w:sz w:val="14"/>
                      <w:szCs w:val="14"/>
                    </w:rPr>
                  </w:pPr>
                  <w:r w:rsidRPr="002B4E56">
                    <w:rPr>
                      <w:rFonts w:eastAsia="Times New Roman"/>
                      <w:color w:val="000000"/>
                      <w:sz w:val="14"/>
                      <w:szCs w:val="14"/>
                    </w:rPr>
                    <w:t>None</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9A" w14:textId="77777777" w:rsidR="00A60A00" w:rsidRPr="002B4E56" w:rsidRDefault="00A60A00" w:rsidP="00C84527">
                  <w:pPr>
                    <w:jc w:val="center"/>
                    <w:rPr>
                      <w:rFonts w:eastAsia="Times New Roman"/>
                      <w:color w:val="000000"/>
                      <w:sz w:val="14"/>
                      <w:szCs w:val="14"/>
                    </w:rPr>
                  </w:pPr>
                </w:p>
              </w:tc>
            </w:tr>
            <w:tr w:rsidR="00A60A00" w:rsidRPr="002B4E56" w14:paraId="01C3749E" w14:textId="77777777" w:rsidTr="00C84527">
              <w:trPr>
                <w:trHeight w:hRule="exact" w:val="216"/>
                <w:tblCellSpacing w:w="14" w:type="dxa"/>
              </w:trPr>
              <w:tc>
                <w:tcPr>
                  <w:tcW w:w="601" w:type="dxa"/>
                  <w:vAlign w:val="center"/>
                </w:tcPr>
                <w:p w14:paraId="01C3749C" w14:textId="77777777" w:rsidR="00A60A00" w:rsidRPr="002B4E56" w:rsidRDefault="00A60A00" w:rsidP="00C84527">
                  <w:pPr>
                    <w:ind w:left="-54"/>
                    <w:jc w:val="center"/>
                    <w:rPr>
                      <w:rFonts w:eastAsia="Times New Roman"/>
                      <w:color w:val="000000"/>
                      <w:sz w:val="14"/>
                      <w:szCs w:val="14"/>
                    </w:rPr>
                  </w:pPr>
                  <w:r w:rsidRPr="002B4E56">
                    <w:rPr>
                      <w:rFonts w:eastAsia="Times New Roman"/>
                      <w:color w:val="000000"/>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9D" w14:textId="77777777" w:rsidR="00A60A00" w:rsidRPr="002B4E56" w:rsidRDefault="00A60A00" w:rsidP="00C84527">
                  <w:pPr>
                    <w:jc w:val="center"/>
                    <w:rPr>
                      <w:rFonts w:eastAsia="Times New Roman"/>
                      <w:color w:val="000000"/>
                      <w:sz w:val="14"/>
                      <w:szCs w:val="14"/>
                    </w:rPr>
                  </w:pPr>
                </w:p>
              </w:tc>
            </w:tr>
          </w:tbl>
          <w:p w14:paraId="01C3749F" w14:textId="77777777" w:rsidR="00A60A00" w:rsidRPr="002B4E56" w:rsidRDefault="00A60A00" w:rsidP="00C84527">
            <w:pPr>
              <w:spacing w:line="360" w:lineRule="auto"/>
              <w:jc w:val="center"/>
              <w:rPr>
                <w:rFonts w:eastAsia="Times New Roman"/>
                <w:color w:val="000000"/>
                <w:sz w:val="14"/>
                <w:szCs w:val="14"/>
              </w:rPr>
            </w:pPr>
          </w:p>
        </w:tc>
        <w:tc>
          <w:tcPr>
            <w:tcW w:w="108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A60A00" w:rsidRPr="002B4E56" w14:paraId="01C374A2" w14:textId="77777777" w:rsidTr="00C84527">
              <w:trPr>
                <w:trHeight w:hRule="exact" w:val="216"/>
                <w:tblCellSpacing w:w="14" w:type="dxa"/>
              </w:trPr>
              <w:tc>
                <w:tcPr>
                  <w:tcW w:w="601" w:type="dxa"/>
                  <w:vAlign w:val="center"/>
                </w:tcPr>
                <w:p w14:paraId="01C374A0" w14:textId="77777777" w:rsidR="00A60A00" w:rsidRPr="002B4E56" w:rsidRDefault="00A60A00" w:rsidP="00247F32">
                  <w:pPr>
                    <w:ind w:left="-54"/>
                    <w:jc w:val="right"/>
                    <w:rPr>
                      <w:rFonts w:eastAsia="Times New Roman"/>
                      <w:color w:val="000000"/>
                      <w:sz w:val="14"/>
                      <w:szCs w:val="14"/>
                    </w:rPr>
                  </w:pPr>
                  <w:r w:rsidRPr="002B4E56">
                    <w:rPr>
                      <w:rFonts w:eastAsia="Times New Roman"/>
                      <w:color w:val="000000"/>
                      <w:sz w:val="14"/>
                      <w:szCs w:val="14"/>
                    </w:rPr>
                    <w:t>None</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A1" w14:textId="77777777" w:rsidR="00A60A00" w:rsidRPr="002B4E56" w:rsidRDefault="00A60A00" w:rsidP="00247F32">
                  <w:pPr>
                    <w:jc w:val="center"/>
                    <w:rPr>
                      <w:rFonts w:eastAsia="Times New Roman"/>
                      <w:color w:val="000000"/>
                      <w:sz w:val="14"/>
                      <w:szCs w:val="14"/>
                    </w:rPr>
                  </w:pPr>
                </w:p>
              </w:tc>
            </w:tr>
            <w:tr w:rsidR="00A60A00" w:rsidRPr="002B4E56" w14:paraId="01C374A5" w14:textId="77777777" w:rsidTr="00C84527">
              <w:trPr>
                <w:trHeight w:hRule="exact" w:val="216"/>
                <w:tblCellSpacing w:w="14" w:type="dxa"/>
              </w:trPr>
              <w:tc>
                <w:tcPr>
                  <w:tcW w:w="601" w:type="dxa"/>
                  <w:vAlign w:val="center"/>
                </w:tcPr>
                <w:p w14:paraId="01C374A3" w14:textId="77777777" w:rsidR="00A60A00" w:rsidRPr="002B4E56" w:rsidRDefault="00A60A00" w:rsidP="00247F32">
                  <w:pPr>
                    <w:ind w:left="-54"/>
                    <w:jc w:val="right"/>
                    <w:rPr>
                      <w:rFonts w:eastAsia="Times New Roman"/>
                      <w:color w:val="000000"/>
                      <w:sz w:val="14"/>
                      <w:szCs w:val="14"/>
                    </w:rPr>
                  </w:pPr>
                  <w:r w:rsidRPr="002B4E56">
                    <w:rPr>
                      <w:rFonts w:eastAsia="Times New Roman"/>
                      <w:color w:val="000000"/>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A4" w14:textId="77777777" w:rsidR="00A60A00" w:rsidRPr="002B4E56" w:rsidRDefault="00A60A00" w:rsidP="00247F32">
                  <w:pPr>
                    <w:rPr>
                      <w:rFonts w:eastAsia="Times New Roman"/>
                      <w:color w:val="000000"/>
                      <w:sz w:val="14"/>
                      <w:szCs w:val="14"/>
                    </w:rPr>
                  </w:pPr>
                </w:p>
              </w:tc>
            </w:tr>
          </w:tbl>
          <w:p w14:paraId="01C374A6" w14:textId="77777777" w:rsidR="00A60A00" w:rsidRPr="002B4E56" w:rsidRDefault="00A60A00" w:rsidP="00247F32">
            <w:pPr>
              <w:spacing w:line="360" w:lineRule="auto"/>
              <w:jc w:val="center"/>
              <w:rPr>
                <w:rFonts w:eastAsia="Times New Roman"/>
                <w:color w:val="000000"/>
                <w:sz w:val="14"/>
                <w:szCs w:val="14"/>
              </w:rPr>
            </w:pPr>
          </w:p>
        </w:tc>
        <w:tc>
          <w:tcPr>
            <w:tcW w:w="3783" w:type="dxa"/>
            <w:vMerge w:val="restart"/>
            <w:tcBorders>
              <w:top w:val="single" w:sz="12" w:space="0" w:color="auto"/>
            </w:tcBorders>
          </w:tcPr>
          <w:p w14:paraId="01C374A7" w14:textId="77777777" w:rsidR="00A60A00" w:rsidRPr="00CF2D28" w:rsidRDefault="00A60A00" w:rsidP="00723918">
            <w:pPr>
              <w:spacing w:line="360" w:lineRule="auto"/>
              <w:rPr>
                <w:sz w:val="18"/>
                <w:szCs w:val="20"/>
              </w:rPr>
            </w:pPr>
          </w:p>
        </w:tc>
        <w:tc>
          <w:tcPr>
            <w:tcW w:w="717" w:type="dxa"/>
            <w:vMerge w:val="restart"/>
            <w:tcBorders>
              <w:top w:val="single" w:sz="12" w:space="0" w:color="auto"/>
              <w:right w:val="single" w:sz="12" w:space="0" w:color="000000" w:themeColor="text1"/>
            </w:tcBorders>
          </w:tcPr>
          <w:p w14:paraId="01C374A8" w14:textId="77777777" w:rsidR="00A60A00" w:rsidRPr="00CF2D28" w:rsidRDefault="00A60A00" w:rsidP="00723918">
            <w:pPr>
              <w:spacing w:line="360" w:lineRule="auto"/>
              <w:rPr>
                <w:sz w:val="18"/>
                <w:szCs w:val="20"/>
              </w:rPr>
            </w:pPr>
          </w:p>
        </w:tc>
      </w:tr>
      <w:tr w:rsidR="00C84527" w:rsidRPr="005E4993" w14:paraId="01C374B2" w14:textId="77777777" w:rsidTr="00030736">
        <w:trPr>
          <w:trHeight w:val="472"/>
        </w:trPr>
        <w:tc>
          <w:tcPr>
            <w:tcW w:w="1982" w:type="dxa"/>
            <w:tcBorders>
              <w:top w:val="dashed" w:sz="4" w:space="0" w:color="auto"/>
              <w:left w:val="single" w:sz="12" w:space="0" w:color="000000" w:themeColor="text1"/>
              <w:bottom w:val="single" w:sz="12" w:space="0" w:color="auto"/>
            </w:tcBorders>
          </w:tcPr>
          <w:p w14:paraId="01C374AA" w14:textId="77777777" w:rsidR="00A60A00" w:rsidRPr="00CF2D28" w:rsidRDefault="00A60A00" w:rsidP="00723918">
            <w:pPr>
              <w:spacing w:line="360" w:lineRule="auto"/>
              <w:rPr>
                <w:sz w:val="18"/>
                <w:szCs w:val="20"/>
              </w:rPr>
            </w:pPr>
          </w:p>
        </w:tc>
        <w:tc>
          <w:tcPr>
            <w:tcW w:w="2536" w:type="dxa"/>
            <w:vMerge/>
            <w:tcBorders>
              <w:bottom w:val="single" w:sz="12" w:space="0" w:color="auto"/>
            </w:tcBorders>
          </w:tcPr>
          <w:p w14:paraId="01C374AB" w14:textId="77777777" w:rsidR="00A60A00" w:rsidRPr="00CF2D28" w:rsidRDefault="00A60A00" w:rsidP="00723918">
            <w:pPr>
              <w:spacing w:line="360" w:lineRule="auto"/>
              <w:rPr>
                <w:sz w:val="18"/>
                <w:szCs w:val="20"/>
              </w:rPr>
            </w:pPr>
          </w:p>
        </w:tc>
        <w:tc>
          <w:tcPr>
            <w:tcW w:w="863" w:type="dxa"/>
            <w:vMerge/>
            <w:tcBorders>
              <w:bottom w:val="single" w:sz="12" w:space="0" w:color="auto"/>
            </w:tcBorders>
          </w:tcPr>
          <w:p w14:paraId="01C374AC" w14:textId="77777777" w:rsidR="00A60A00" w:rsidRPr="00CF2D28" w:rsidRDefault="00A60A00" w:rsidP="00723918">
            <w:pPr>
              <w:spacing w:before="120" w:line="360" w:lineRule="auto"/>
              <w:jc w:val="right"/>
              <w:rPr>
                <w:rFonts w:eastAsia="Times New Roman"/>
                <w:color w:val="000000"/>
                <w:sz w:val="18"/>
                <w:szCs w:val="20"/>
              </w:rPr>
            </w:pPr>
          </w:p>
        </w:tc>
        <w:tc>
          <w:tcPr>
            <w:tcW w:w="1027" w:type="dxa"/>
            <w:vMerge/>
            <w:tcBorders>
              <w:bottom w:val="single" w:sz="12" w:space="0" w:color="auto"/>
            </w:tcBorders>
            <w:vAlign w:val="center"/>
          </w:tcPr>
          <w:p w14:paraId="01C374AD" w14:textId="77777777" w:rsidR="00A60A00" w:rsidRPr="002B4E56" w:rsidRDefault="00A60A00" w:rsidP="00C84527">
            <w:pPr>
              <w:spacing w:before="120" w:line="360" w:lineRule="auto"/>
              <w:jc w:val="center"/>
              <w:rPr>
                <w:rFonts w:eastAsia="Times New Roman"/>
                <w:color w:val="000000"/>
                <w:sz w:val="14"/>
                <w:szCs w:val="14"/>
              </w:rPr>
            </w:pPr>
          </w:p>
        </w:tc>
        <w:tc>
          <w:tcPr>
            <w:tcW w:w="1170" w:type="dxa"/>
            <w:vMerge/>
            <w:tcBorders>
              <w:bottom w:val="single" w:sz="12" w:space="0" w:color="auto"/>
            </w:tcBorders>
            <w:vAlign w:val="center"/>
          </w:tcPr>
          <w:p w14:paraId="01C374AE" w14:textId="77777777" w:rsidR="00A60A00" w:rsidRPr="002B4E56" w:rsidRDefault="00A60A00" w:rsidP="00C84527">
            <w:pPr>
              <w:spacing w:line="360" w:lineRule="auto"/>
              <w:jc w:val="center"/>
              <w:rPr>
                <w:rFonts w:eastAsia="Times New Roman"/>
                <w:color w:val="000000"/>
                <w:sz w:val="14"/>
                <w:szCs w:val="14"/>
              </w:rPr>
            </w:pPr>
          </w:p>
        </w:tc>
        <w:tc>
          <w:tcPr>
            <w:tcW w:w="1080" w:type="dxa"/>
            <w:vMerge/>
            <w:tcBorders>
              <w:bottom w:val="single" w:sz="12" w:space="0" w:color="auto"/>
            </w:tcBorders>
            <w:vAlign w:val="center"/>
          </w:tcPr>
          <w:p w14:paraId="01C374AF" w14:textId="77777777" w:rsidR="00A60A00" w:rsidRPr="002B4E56" w:rsidRDefault="00A60A00" w:rsidP="00723918">
            <w:pPr>
              <w:spacing w:line="360" w:lineRule="auto"/>
              <w:jc w:val="right"/>
              <w:rPr>
                <w:rFonts w:eastAsia="Times New Roman"/>
                <w:color w:val="000000"/>
                <w:sz w:val="14"/>
                <w:szCs w:val="14"/>
              </w:rPr>
            </w:pPr>
          </w:p>
        </w:tc>
        <w:tc>
          <w:tcPr>
            <w:tcW w:w="3783" w:type="dxa"/>
            <w:vMerge/>
            <w:tcBorders>
              <w:bottom w:val="single" w:sz="12" w:space="0" w:color="auto"/>
            </w:tcBorders>
          </w:tcPr>
          <w:p w14:paraId="01C374B0" w14:textId="77777777" w:rsidR="00A60A00" w:rsidRPr="00CF2D28" w:rsidRDefault="00A60A00" w:rsidP="00723918">
            <w:pPr>
              <w:spacing w:line="360" w:lineRule="auto"/>
              <w:rPr>
                <w:sz w:val="18"/>
                <w:szCs w:val="20"/>
              </w:rPr>
            </w:pPr>
          </w:p>
        </w:tc>
        <w:tc>
          <w:tcPr>
            <w:tcW w:w="717" w:type="dxa"/>
            <w:vMerge/>
            <w:tcBorders>
              <w:bottom w:val="single" w:sz="12" w:space="0" w:color="auto"/>
              <w:right w:val="single" w:sz="12" w:space="0" w:color="000000" w:themeColor="text1"/>
            </w:tcBorders>
          </w:tcPr>
          <w:p w14:paraId="01C374B1" w14:textId="77777777" w:rsidR="00A60A00" w:rsidRPr="00CF2D28" w:rsidRDefault="00A60A00" w:rsidP="00723918">
            <w:pPr>
              <w:spacing w:line="360" w:lineRule="auto"/>
              <w:rPr>
                <w:sz w:val="18"/>
                <w:szCs w:val="20"/>
              </w:rPr>
            </w:pPr>
          </w:p>
        </w:tc>
      </w:tr>
      <w:tr w:rsidR="00C84527" w:rsidRPr="005E4993" w14:paraId="01C374D0" w14:textId="77777777" w:rsidTr="00030736">
        <w:trPr>
          <w:trHeight w:val="473"/>
        </w:trPr>
        <w:tc>
          <w:tcPr>
            <w:tcW w:w="1982" w:type="dxa"/>
            <w:tcBorders>
              <w:top w:val="single" w:sz="12" w:space="0" w:color="auto"/>
              <w:left w:val="single" w:sz="12" w:space="0" w:color="000000" w:themeColor="text1"/>
              <w:bottom w:val="dashed" w:sz="4" w:space="0" w:color="auto"/>
            </w:tcBorders>
          </w:tcPr>
          <w:p w14:paraId="01C374B3" w14:textId="77777777" w:rsidR="00A60A00" w:rsidRPr="00CF2D28" w:rsidRDefault="00A60A00" w:rsidP="00723918">
            <w:pPr>
              <w:spacing w:line="360" w:lineRule="auto"/>
              <w:rPr>
                <w:sz w:val="18"/>
                <w:szCs w:val="20"/>
              </w:rPr>
            </w:pPr>
          </w:p>
        </w:tc>
        <w:tc>
          <w:tcPr>
            <w:tcW w:w="2536" w:type="dxa"/>
            <w:vMerge w:val="restart"/>
            <w:tcBorders>
              <w:top w:val="single" w:sz="12" w:space="0" w:color="auto"/>
            </w:tcBorders>
          </w:tcPr>
          <w:p w14:paraId="01C374B4" w14:textId="77777777" w:rsidR="00A60A00" w:rsidRPr="00CF2D28" w:rsidRDefault="00A60A00" w:rsidP="00723918">
            <w:pPr>
              <w:spacing w:line="360" w:lineRule="auto"/>
              <w:rPr>
                <w:sz w:val="18"/>
                <w:szCs w:val="20"/>
              </w:rPr>
            </w:pPr>
          </w:p>
        </w:tc>
        <w:tc>
          <w:tcPr>
            <w:tcW w:w="863" w:type="dxa"/>
            <w:vMerge w:val="restart"/>
            <w:tcBorders>
              <w:top w:val="single" w:sz="12" w:space="0" w:color="auto"/>
            </w:tcBorders>
          </w:tcPr>
          <w:p w14:paraId="01C374B5" w14:textId="77777777" w:rsidR="00A60A00" w:rsidRPr="00CF2D28" w:rsidRDefault="00A60A00" w:rsidP="00247F32">
            <w:pPr>
              <w:ind w:left="-54"/>
              <w:jc w:val="right"/>
              <w:rPr>
                <w:rFonts w:eastAsia="Times New Roman"/>
                <w:color w:val="000000"/>
                <w:sz w:val="18"/>
                <w:szCs w:val="20"/>
              </w:rPr>
            </w:pPr>
          </w:p>
        </w:tc>
        <w:tc>
          <w:tcPr>
            <w:tcW w:w="1027"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A60A00" w:rsidRPr="002B4E56" w14:paraId="01C374B8" w14:textId="77777777" w:rsidTr="00C84527">
              <w:trPr>
                <w:trHeight w:hRule="exact" w:val="216"/>
                <w:tblCellSpacing w:w="14" w:type="dxa"/>
              </w:trPr>
              <w:tc>
                <w:tcPr>
                  <w:tcW w:w="601" w:type="dxa"/>
                  <w:vAlign w:val="center"/>
                </w:tcPr>
                <w:p w14:paraId="01C374B6" w14:textId="77777777" w:rsidR="00A60A00" w:rsidRPr="002B4E56" w:rsidRDefault="00A60A00" w:rsidP="00C84527">
                  <w:pPr>
                    <w:ind w:left="-54"/>
                    <w:jc w:val="center"/>
                    <w:rPr>
                      <w:rFonts w:eastAsia="Times New Roman"/>
                      <w:color w:val="000000"/>
                      <w:sz w:val="14"/>
                      <w:szCs w:val="14"/>
                    </w:rPr>
                  </w:pPr>
                  <w:r w:rsidRPr="002B4E56">
                    <w:rPr>
                      <w:rFonts w:eastAsia="Times New Roman"/>
                      <w:color w:val="000000"/>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B7" w14:textId="77777777" w:rsidR="00A60A00" w:rsidRPr="002B4E56" w:rsidRDefault="00A60A00" w:rsidP="00C84527">
                  <w:pPr>
                    <w:jc w:val="center"/>
                    <w:rPr>
                      <w:rFonts w:eastAsia="Times New Roman"/>
                      <w:color w:val="000000"/>
                      <w:sz w:val="14"/>
                      <w:szCs w:val="14"/>
                    </w:rPr>
                  </w:pPr>
                </w:p>
              </w:tc>
            </w:tr>
            <w:tr w:rsidR="00A60A00" w:rsidRPr="002B4E56" w14:paraId="01C374BB" w14:textId="77777777" w:rsidTr="00C84527">
              <w:trPr>
                <w:trHeight w:hRule="exact" w:val="216"/>
                <w:tblCellSpacing w:w="14" w:type="dxa"/>
              </w:trPr>
              <w:tc>
                <w:tcPr>
                  <w:tcW w:w="601" w:type="dxa"/>
                  <w:vAlign w:val="center"/>
                </w:tcPr>
                <w:p w14:paraId="01C374B9" w14:textId="77777777" w:rsidR="00A60A00" w:rsidRPr="002B4E56" w:rsidRDefault="00A60A00" w:rsidP="00C84527">
                  <w:pPr>
                    <w:ind w:left="-54"/>
                    <w:jc w:val="center"/>
                    <w:rPr>
                      <w:rFonts w:eastAsia="Times New Roman"/>
                      <w:color w:val="000000"/>
                      <w:sz w:val="14"/>
                      <w:szCs w:val="14"/>
                    </w:rPr>
                  </w:pPr>
                  <w:r w:rsidRPr="002B4E56">
                    <w:rPr>
                      <w:rFonts w:eastAsia="Times New Roman"/>
                      <w:color w:val="000000"/>
                      <w:sz w:val="14"/>
                      <w:szCs w:val="14"/>
                    </w:rPr>
                    <w:t>No</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BA" w14:textId="77777777" w:rsidR="00A60A00" w:rsidRPr="002B4E56" w:rsidRDefault="00A60A00" w:rsidP="00C84527">
                  <w:pPr>
                    <w:jc w:val="center"/>
                    <w:rPr>
                      <w:rFonts w:eastAsia="Times New Roman"/>
                      <w:color w:val="000000"/>
                      <w:sz w:val="14"/>
                      <w:szCs w:val="14"/>
                    </w:rPr>
                  </w:pPr>
                </w:p>
              </w:tc>
            </w:tr>
            <w:tr w:rsidR="00A60A00" w:rsidRPr="002B4E56" w14:paraId="01C374BE" w14:textId="77777777" w:rsidTr="00C84527">
              <w:trPr>
                <w:trHeight w:hRule="exact" w:val="216"/>
                <w:tblCellSpacing w:w="14" w:type="dxa"/>
              </w:trPr>
              <w:tc>
                <w:tcPr>
                  <w:tcW w:w="601" w:type="dxa"/>
                  <w:vAlign w:val="center"/>
                </w:tcPr>
                <w:p w14:paraId="01C374BC" w14:textId="7E412317" w:rsidR="00A60A00" w:rsidRPr="002B4E56" w:rsidRDefault="00BE6376" w:rsidP="00C84527">
                  <w:pPr>
                    <w:jc w:val="center"/>
                    <w:rPr>
                      <w:rFonts w:eastAsia="Times New Roman"/>
                      <w:color w:val="000000"/>
                      <w:sz w:val="14"/>
                      <w:szCs w:val="14"/>
                    </w:rPr>
                  </w:pPr>
                  <w:r w:rsidRPr="002B4E56">
                    <w:rPr>
                      <w:rFonts w:eastAsia="Times New Roman"/>
                      <w:color w:val="000000"/>
                      <w:sz w:val="14"/>
                      <w:szCs w:val="14"/>
                    </w:rPr>
                    <w:t>Yes, by</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BD" w14:textId="77777777" w:rsidR="00A60A00" w:rsidRPr="002B4E56" w:rsidRDefault="00A60A00" w:rsidP="00C84527">
                  <w:pPr>
                    <w:jc w:val="center"/>
                    <w:rPr>
                      <w:rFonts w:eastAsia="Times New Roman"/>
                      <w:color w:val="000000"/>
                      <w:sz w:val="14"/>
                      <w:szCs w:val="14"/>
                    </w:rPr>
                  </w:pPr>
                </w:p>
              </w:tc>
            </w:tr>
          </w:tbl>
          <w:p w14:paraId="01C374BF" w14:textId="75B87FE7" w:rsidR="00A60A00" w:rsidRPr="002B4E56" w:rsidRDefault="00BE6376" w:rsidP="00C84527">
            <w:pPr>
              <w:spacing w:line="360" w:lineRule="auto"/>
              <w:jc w:val="center"/>
              <w:rPr>
                <w:rFonts w:eastAsia="Times New Roman"/>
                <w:color w:val="000000"/>
                <w:sz w:val="14"/>
                <w:szCs w:val="14"/>
              </w:rPr>
            </w:pPr>
            <w:r w:rsidRPr="002B4E56">
              <w:rPr>
                <w:rFonts w:eastAsia="Times New Roman"/>
                <w:color w:val="000000"/>
                <w:sz w:val="14"/>
                <w:szCs w:val="14"/>
              </w:rPr>
              <w:t>Exemption</w:t>
            </w:r>
          </w:p>
        </w:tc>
        <w:tc>
          <w:tcPr>
            <w:tcW w:w="117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A60A00" w:rsidRPr="002B4E56" w14:paraId="01C374C2" w14:textId="77777777" w:rsidTr="00C84527">
              <w:trPr>
                <w:trHeight w:hRule="exact" w:val="216"/>
                <w:tblCellSpacing w:w="14" w:type="dxa"/>
              </w:trPr>
              <w:tc>
                <w:tcPr>
                  <w:tcW w:w="601" w:type="dxa"/>
                  <w:vAlign w:val="center"/>
                </w:tcPr>
                <w:p w14:paraId="01C374C0" w14:textId="77777777" w:rsidR="00A60A00" w:rsidRPr="002B4E56" w:rsidRDefault="00A60A00" w:rsidP="00C84527">
                  <w:pPr>
                    <w:ind w:left="-54"/>
                    <w:jc w:val="center"/>
                    <w:rPr>
                      <w:rFonts w:eastAsia="Times New Roman"/>
                      <w:color w:val="000000"/>
                      <w:sz w:val="14"/>
                      <w:szCs w:val="14"/>
                    </w:rPr>
                  </w:pPr>
                  <w:r w:rsidRPr="002B4E56">
                    <w:rPr>
                      <w:rFonts w:eastAsia="Times New Roman"/>
                      <w:color w:val="000000"/>
                      <w:sz w:val="14"/>
                      <w:szCs w:val="14"/>
                    </w:rPr>
                    <w:t>None</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C1" w14:textId="77777777" w:rsidR="00A60A00" w:rsidRPr="002B4E56" w:rsidRDefault="00A60A00" w:rsidP="00C84527">
                  <w:pPr>
                    <w:jc w:val="center"/>
                    <w:rPr>
                      <w:rFonts w:eastAsia="Times New Roman"/>
                      <w:color w:val="000000"/>
                      <w:sz w:val="14"/>
                      <w:szCs w:val="14"/>
                    </w:rPr>
                  </w:pPr>
                </w:p>
              </w:tc>
            </w:tr>
            <w:tr w:rsidR="00A60A00" w:rsidRPr="002B4E56" w14:paraId="01C374C5" w14:textId="77777777" w:rsidTr="00C84527">
              <w:trPr>
                <w:trHeight w:hRule="exact" w:val="216"/>
                <w:tblCellSpacing w:w="14" w:type="dxa"/>
              </w:trPr>
              <w:tc>
                <w:tcPr>
                  <w:tcW w:w="601" w:type="dxa"/>
                  <w:vAlign w:val="center"/>
                </w:tcPr>
                <w:p w14:paraId="01C374C3" w14:textId="77777777" w:rsidR="00A60A00" w:rsidRPr="002B4E56" w:rsidRDefault="00A60A00" w:rsidP="00C84527">
                  <w:pPr>
                    <w:ind w:left="-54"/>
                    <w:jc w:val="center"/>
                    <w:rPr>
                      <w:rFonts w:eastAsia="Times New Roman"/>
                      <w:color w:val="000000"/>
                      <w:sz w:val="14"/>
                      <w:szCs w:val="14"/>
                    </w:rPr>
                  </w:pPr>
                  <w:r w:rsidRPr="002B4E56">
                    <w:rPr>
                      <w:rFonts w:eastAsia="Times New Roman"/>
                      <w:color w:val="000000"/>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C4" w14:textId="77777777" w:rsidR="00A60A00" w:rsidRPr="002B4E56" w:rsidRDefault="00A60A00" w:rsidP="00C84527">
                  <w:pPr>
                    <w:jc w:val="center"/>
                    <w:rPr>
                      <w:rFonts w:eastAsia="Times New Roman"/>
                      <w:color w:val="000000"/>
                      <w:sz w:val="14"/>
                      <w:szCs w:val="14"/>
                    </w:rPr>
                  </w:pPr>
                </w:p>
              </w:tc>
            </w:tr>
          </w:tbl>
          <w:p w14:paraId="01C374C6" w14:textId="77777777" w:rsidR="00A60A00" w:rsidRPr="002B4E56" w:rsidRDefault="00A60A00" w:rsidP="00C84527">
            <w:pPr>
              <w:spacing w:line="360" w:lineRule="auto"/>
              <w:jc w:val="center"/>
              <w:rPr>
                <w:rFonts w:eastAsia="Times New Roman"/>
                <w:color w:val="000000"/>
                <w:sz w:val="14"/>
                <w:szCs w:val="14"/>
              </w:rPr>
            </w:pPr>
          </w:p>
        </w:tc>
        <w:tc>
          <w:tcPr>
            <w:tcW w:w="108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A60A00" w:rsidRPr="002B4E56" w14:paraId="01C374C9" w14:textId="77777777" w:rsidTr="00C84527">
              <w:trPr>
                <w:trHeight w:hRule="exact" w:val="216"/>
                <w:tblCellSpacing w:w="14" w:type="dxa"/>
              </w:trPr>
              <w:tc>
                <w:tcPr>
                  <w:tcW w:w="601" w:type="dxa"/>
                  <w:vAlign w:val="center"/>
                </w:tcPr>
                <w:p w14:paraId="01C374C7" w14:textId="77777777" w:rsidR="00A60A00" w:rsidRPr="002B4E56" w:rsidRDefault="00A60A00" w:rsidP="00247F32">
                  <w:pPr>
                    <w:ind w:left="-54"/>
                    <w:jc w:val="right"/>
                    <w:rPr>
                      <w:rFonts w:eastAsia="Times New Roman"/>
                      <w:color w:val="000000"/>
                      <w:sz w:val="14"/>
                      <w:szCs w:val="14"/>
                    </w:rPr>
                  </w:pPr>
                  <w:r w:rsidRPr="002B4E56">
                    <w:rPr>
                      <w:rFonts w:eastAsia="Times New Roman"/>
                      <w:color w:val="000000"/>
                      <w:sz w:val="14"/>
                      <w:szCs w:val="14"/>
                    </w:rPr>
                    <w:t>None</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C8" w14:textId="77777777" w:rsidR="00A60A00" w:rsidRPr="002B4E56" w:rsidRDefault="00A60A00" w:rsidP="00247F32">
                  <w:pPr>
                    <w:jc w:val="center"/>
                    <w:rPr>
                      <w:rFonts w:eastAsia="Times New Roman"/>
                      <w:color w:val="000000"/>
                      <w:sz w:val="14"/>
                      <w:szCs w:val="14"/>
                    </w:rPr>
                  </w:pPr>
                </w:p>
              </w:tc>
            </w:tr>
            <w:tr w:rsidR="00A60A00" w:rsidRPr="002B4E56" w14:paraId="01C374CC" w14:textId="77777777" w:rsidTr="00C84527">
              <w:trPr>
                <w:trHeight w:hRule="exact" w:val="216"/>
                <w:tblCellSpacing w:w="14" w:type="dxa"/>
              </w:trPr>
              <w:tc>
                <w:tcPr>
                  <w:tcW w:w="601" w:type="dxa"/>
                  <w:vAlign w:val="center"/>
                </w:tcPr>
                <w:p w14:paraId="01C374CA" w14:textId="77777777" w:rsidR="00A60A00" w:rsidRPr="002B4E56" w:rsidRDefault="00A60A00" w:rsidP="00247F32">
                  <w:pPr>
                    <w:ind w:left="-54"/>
                    <w:jc w:val="right"/>
                    <w:rPr>
                      <w:rFonts w:eastAsia="Times New Roman"/>
                      <w:color w:val="000000"/>
                      <w:sz w:val="14"/>
                      <w:szCs w:val="14"/>
                    </w:rPr>
                  </w:pPr>
                  <w:r w:rsidRPr="002B4E56">
                    <w:rPr>
                      <w:rFonts w:eastAsia="Times New Roman"/>
                      <w:color w:val="000000"/>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CB" w14:textId="77777777" w:rsidR="00A60A00" w:rsidRPr="002B4E56" w:rsidRDefault="00A60A00" w:rsidP="00247F32">
                  <w:pPr>
                    <w:rPr>
                      <w:rFonts w:eastAsia="Times New Roman"/>
                      <w:color w:val="000000"/>
                      <w:sz w:val="14"/>
                      <w:szCs w:val="14"/>
                    </w:rPr>
                  </w:pPr>
                </w:p>
              </w:tc>
            </w:tr>
          </w:tbl>
          <w:p w14:paraId="01C374CD" w14:textId="77777777" w:rsidR="00A60A00" w:rsidRPr="002B4E56" w:rsidRDefault="00A60A00" w:rsidP="00247F32">
            <w:pPr>
              <w:spacing w:line="360" w:lineRule="auto"/>
              <w:jc w:val="center"/>
              <w:rPr>
                <w:rFonts w:eastAsia="Times New Roman"/>
                <w:color w:val="000000"/>
                <w:sz w:val="14"/>
                <w:szCs w:val="14"/>
              </w:rPr>
            </w:pPr>
          </w:p>
        </w:tc>
        <w:tc>
          <w:tcPr>
            <w:tcW w:w="3783" w:type="dxa"/>
            <w:vMerge w:val="restart"/>
            <w:tcBorders>
              <w:top w:val="single" w:sz="12" w:space="0" w:color="auto"/>
            </w:tcBorders>
          </w:tcPr>
          <w:p w14:paraId="01C374CE" w14:textId="77777777" w:rsidR="00A60A00" w:rsidRPr="00CF2D28" w:rsidRDefault="00A60A00" w:rsidP="00723918">
            <w:pPr>
              <w:spacing w:line="360" w:lineRule="auto"/>
              <w:rPr>
                <w:sz w:val="18"/>
                <w:szCs w:val="20"/>
              </w:rPr>
            </w:pPr>
          </w:p>
        </w:tc>
        <w:tc>
          <w:tcPr>
            <w:tcW w:w="717" w:type="dxa"/>
            <w:vMerge w:val="restart"/>
            <w:tcBorders>
              <w:top w:val="single" w:sz="12" w:space="0" w:color="auto"/>
              <w:right w:val="single" w:sz="12" w:space="0" w:color="000000" w:themeColor="text1"/>
            </w:tcBorders>
          </w:tcPr>
          <w:p w14:paraId="01C374CF" w14:textId="77777777" w:rsidR="00A60A00" w:rsidRPr="00CF2D28" w:rsidRDefault="00A60A00" w:rsidP="00723918">
            <w:pPr>
              <w:spacing w:line="360" w:lineRule="auto"/>
              <w:rPr>
                <w:sz w:val="18"/>
                <w:szCs w:val="20"/>
              </w:rPr>
            </w:pPr>
          </w:p>
        </w:tc>
      </w:tr>
      <w:tr w:rsidR="00C84527" w14:paraId="01C374D9" w14:textId="77777777" w:rsidTr="00030736">
        <w:trPr>
          <w:trHeight w:val="472"/>
        </w:trPr>
        <w:tc>
          <w:tcPr>
            <w:tcW w:w="1982" w:type="dxa"/>
            <w:tcBorders>
              <w:top w:val="dashed" w:sz="4" w:space="0" w:color="auto"/>
              <w:left w:val="single" w:sz="12" w:space="0" w:color="000000" w:themeColor="text1"/>
              <w:bottom w:val="single" w:sz="12" w:space="0" w:color="auto"/>
            </w:tcBorders>
          </w:tcPr>
          <w:p w14:paraId="01C374D1" w14:textId="77777777" w:rsidR="00A60A00" w:rsidRPr="00921365" w:rsidRDefault="00A60A00" w:rsidP="00723918">
            <w:pPr>
              <w:spacing w:line="360" w:lineRule="auto"/>
              <w:rPr>
                <w:sz w:val="18"/>
                <w:szCs w:val="20"/>
              </w:rPr>
            </w:pPr>
          </w:p>
        </w:tc>
        <w:tc>
          <w:tcPr>
            <w:tcW w:w="2536" w:type="dxa"/>
            <w:vMerge/>
            <w:tcBorders>
              <w:bottom w:val="single" w:sz="12" w:space="0" w:color="auto"/>
            </w:tcBorders>
          </w:tcPr>
          <w:p w14:paraId="01C374D2" w14:textId="77777777" w:rsidR="00A60A00" w:rsidRPr="002D51CF" w:rsidRDefault="00A60A00" w:rsidP="00723918">
            <w:pPr>
              <w:spacing w:line="360" w:lineRule="auto"/>
              <w:rPr>
                <w:sz w:val="20"/>
                <w:szCs w:val="20"/>
              </w:rPr>
            </w:pPr>
          </w:p>
        </w:tc>
        <w:tc>
          <w:tcPr>
            <w:tcW w:w="863" w:type="dxa"/>
            <w:vMerge/>
            <w:tcBorders>
              <w:bottom w:val="single" w:sz="12" w:space="0" w:color="auto"/>
            </w:tcBorders>
          </w:tcPr>
          <w:p w14:paraId="01C374D3" w14:textId="77777777" w:rsidR="00A60A00" w:rsidRPr="002D51CF" w:rsidRDefault="00A60A00" w:rsidP="00723918">
            <w:pPr>
              <w:spacing w:before="120" w:line="360" w:lineRule="auto"/>
              <w:jc w:val="right"/>
              <w:rPr>
                <w:rFonts w:eastAsia="Times New Roman"/>
                <w:color w:val="000000"/>
                <w:sz w:val="20"/>
                <w:szCs w:val="20"/>
              </w:rPr>
            </w:pPr>
          </w:p>
        </w:tc>
        <w:tc>
          <w:tcPr>
            <w:tcW w:w="1027" w:type="dxa"/>
            <w:vMerge/>
            <w:tcBorders>
              <w:bottom w:val="single" w:sz="12" w:space="0" w:color="auto"/>
            </w:tcBorders>
            <w:vAlign w:val="center"/>
          </w:tcPr>
          <w:p w14:paraId="01C374D4" w14:textId="77777777" w:rsidR="00A60A00" w:rsidRPr="00065824" w:rsidRDefault="00A60A00" w:rsidP="00C84527">
            <w:pPr>
              <w:spacing w:before="120" w:line="360" w:lineRule="auto"/>
              <w:jc w:val="center"/>
              <w:rPr>
                <w:rFonts w:eastAsia="Times New Roman"/>
                <w:color w:val="000000"/>
                <w:sz w:val="16"/>
                <w:szCs w:val="20"/>
              </w:rPr>
            </w:pPr>
          </w:p>
        </w:tc>
        <w:tc>
          <w:tcPr>
            <w:tcW w:w="1170" w:type="dxa"/>
            <w:vMerge/>
            <w:tcBorders>
              <w:bottom w:val="single" w:sz="12" w:space="0" w:color="auto"/>
            </w:tcBorders>
            <w:vAlign w:val="center"/>
          </w:tcPr>
          <w:p w14:paraId="01C374D5" w14:textId="77777777" w:rsidR="00A60A00" w:rsidRPr="00065824" w:rsidRDefault="00A60A00" w:rsidP="00C84527">
            <w:pPr>
              <w:spacing w:line="360" w:lineRule="auto"/>
              <w:jc w:val="center"/>
              <w:rPr>
                <w:rFonts w:eastAsia="Times New Roman"/>
                <w:color w:val="000000"/>
                <w:sz w:val="16"/>
                <w:szCs w:val="20"/>
              </w:rPr>
            </w:pPr>
          </w:p>
        </w:tc>
        <w:tc>
          <w:tcPr>
            <w:tcW w:w="1080" w:type="dxa"/>
            <w:vMerge/>
            <w:tcBorders>
              <w:bottom w:val="single" w:sz="12" w:space="0" w:color="auto"/>
            </w:tcBorders>
            <w:vAlign w:val="center"/>
          </w:tcPr>
          <w:p w14:paraId="01C374D6" w14:textId="77777777" w:rsidR="00A60A00" w:rsidRPr="00065824" w:rsidRDefault="00A60A00" w:rsidP="00723918">
            <w:pPr>
              <w:spacing w:line="360" w:lineRule="auto"/>
              <w:jc w:val="right"/>
              <w:rPr>
                <w:rFonts w:eastAsia="Times New Roman"/>
                <w:color w:val="000000"/>
                <w:sz w:val="16"/>
                <w:szCs w:val="20"/>
              </w:rPr>
            </w:pPr>
          </w:p>
        </w:tc>
        <w:tc>
          <w:tcPr>
            <w:tcW w:w="3783" w:type="dxa"/>
            <w:vMerge/>
            <w:tcBorders>
              <w:bottom w:val="single" w:sz="12" w:space="0" w:color="auto"/>
            </w:tcBorders>
          </w:tcPr>
          <w:p w14:paraId="01C374D7" w14:textId="77777777" w:rsidR="00A60A00" w:rsidRDefault="00A60A00" w:rsidP="00723918">
            <w:pPr>
              <w:spacing w:line="360" w:lineRule="auto"/>
            </w:pPr>
          </w:p>
        </w:tc>
        <w:tc>
          <w:tcPr>
            <w:tcW w:w="717" w:type="dxa"/>
            <w:vMerge/>
            <w:tcBorders>
              <w:bottom w:val="single" w:sz="12" w:space="0" w:color="auto"/>
              <w:right w:val="single" w:sz="12" w:space="0" w:color="000000" w:themeColor="text1"/>
            </w:tcBorders>
          </w:tcPr>
          <w:p w14:paraId="01C374D8" w14:textId="77777777" w:rsidR="00A60A00" w:rsidRDefault="00A60A00" w:rsidP="00723918">
            <w:pPr>
              <w:spacing w:line="360" w:lineRule="auto"/>
            </w:pPr>
          </w:p>
        </w:tc>
      </w:tr>
    </w:tbl>
    <w:p w14:paraId="01C374DA" w14:textId="4B589474" w:rsidR="00EF2DC0" w:rsidRPr="0084634C" w:rsidRDefault="00EF2DC0" w:rsidP="004E2686">
      <w:pPr>
        <w:spacing w:before="240"/>
        <w:rPr>
          <w:rFonts w:eastAsia="MS PGothic"/>
          <w:kern w:val="2"/>
          <w:sz w:val="14"/>
          <w:szCs w:val="14"/>
          <w:lang w:eastAsia="ja-JP"/>
        </w:rPr>
      </w:pPr>
    </w:p>
    <w:p w14:paraId="57165507" w14:textId="77777777" w:rsidR="0084634C" w:rsidRDefault="0084634C">
      <w:pPr>
        <w:rPr>
          <w:rFonts w:eastAsia="MS PGothic"/>
          <w:color w:val="FF0000"/>
          <w:kern w:val="2"/>
          <w:lang w:eastAsia="ja-JP"/>
        </w:rPr>
      </w:pPr>
      <w:r>
        <w:rPr>
          <w:rFonts w:eastAsia="MS PGothic"/>
          <w:color w:val="FF0000"/>
          <w:kern w:val="2"/>
          <w:lang w:eastAsia="ja-JP"/>
        </w:rPr>
        <w:br w:type="page"/>
      </w:r>
    </w:p>
    <w:p w14:paraId="52221576" w14:textId="28CACF0F" w:rsidR="00706C1F" w:rsidRPr="00EF11F7" w:rsidRDefault="00706C1F" w:rsidP="004E2686">
      <w:pPr>
        <w:spacing w:after="60"/>
        <w:jc w:val="center"/>
        <w:rPr>
          <w:rFonts w:eastAsia="MS PGothic"/>
          <w:color w:val="000000" w:themeColor="text1"/>
          <w:kern w:val="2"/>
          <w:lang w:eastAsia="ja-JP"/>
        </w:rPr>
      </w:pPr>
      <w:r w:rsidRPr="00710C5E">
        <w:rPr>
          <w:rFonts w:eastAsia="MS PGothic"/>
          <w:color w:val="000000" w:themeColor="text1"/>
          <w:kern w:val="2"/>
          <w:lang w:eastAsia="ja-JP"/>
        </w:rPr>
        <w:lastRenderedPageBreak/>
        <w:t>Substance Declaration Worksh</w:t>
      </w:r>
      <w:r w:rsidR="00376331">
        <w:rPr>
          <w:rFonts w:eastAsia="MS PGothic"/>
          <w:color w:val="000000" w:themeColor="text1"/>
          <w:kern w:val="2"/>
          <w:lang w:eastAsia="ja-JP"/>
        </w:rPr>
        <w:t xml:space="preserve">eet for GPCSE </w:t>
      </w:r>
      <w:r w:rsidR="007C0352" w:rsidRPr="00A333D5">
        <w:rPr>
          <w:rFonts w:eastAsia="MS PGothic"/>
          <w:color w:val="000000" w:themeColor="text1"/>
          <w:kern w:val="2"/>
          <w:lang w:eastAsia="ja-JP"/>
        </w:rPr>
        <w:t>Revision</w:t>
      </w:r>
      <w:r w:rsidR="002709C2" w:rsidRPr="00EF11F7">
        <w:rPr>
          <w:rFonts w:eastAsia="MS PGothic"/>
          <w:color w:val="000000" w:themeColor="text1"/>
          <w:kern w:val="2"/>
          <w:lang w:eastAsia="ja-JP"/>
        </w:rPr>
        <w:t xml:space="preserve"> </w:t>
      </w:r>
      <w:r w:rsidR="00C43406">
        <w:rPr>
          <w:rFonts w:eastAsia="MS PGothic"/>
          <w:color w:val="000000" w:themeColor="text1"/>
          <w:kern w:val="2"/>
          <w:lang w:eastAsia="ja-JP"/>
        </w:rPr>
        <w:t>A</w:t>
      </w:r>
      <w:r w:rsidR="007B7E86">
        <w:rPr>
          <w:rFonts w:eastAsia="MS PGothic"/>
          <w:color w:val="000000" w:themeColor="text1"/>
          <w:kern w:val="2"/>
          <w:lang w:eastAsia="ja-JP"/>
        </w:rPr>
        <w:t>C</w:t>
      </w:r>
      <w:r w:rsidR="007E2F20">
        <w:rPr>
          <w:rFonts w:eastAsia="MS PGothic"/>
          <w:color w:val="000000" w:themeColor="text1"/>
          <w:kern w:val="2"/>
          <w:lang w:eastAsia="ja-JP"/>
        </w:rPr>
        <w:t>.</w:t>
      </w:r>
    </w:p>
    <w:tbl>
      <w:tblPr>
        <w:tblStyle w:val="TableGrid"/>
        <w:tblW w:w="13158" w:type="dxa"/>
        <w:tblLayout w:type="fixed"/>
        <w:tblLook w:val="04A0" w:firstRow="1" w:lastRow="0" w:firstColumn="1" w:lastColumn="0" w:noHBand="0" w:noVBand="1"/>
      </w:tblPr>
      <w:tblGrid>
        <w:gridCol w:w="1998"/>
        <w:gridCol w:w="2520"/>
        <w:gridCol w:w="810"/>
        <w:gridCol w:w="1080"/>
        <w:gridCol w:w="1170"/>
        <w:gridCol w:w="1080"/>
        <w:gridCol w:w="3780"/>
        <w:gridCol w:w="720"/>
      </w:tblGrid>
      <w:tr w:rsidR="00CD71F3" w:rsidRPr="002B4E56" w14:paraId="01C374E8" w14:textId="77777777" w:rsidTr="00030736">
        <w:trPr>
          <w:trHeight w:val="548"/>
        </w:trPr>
        <w:tc>
          <w:tcPr>
            <w:tcW w:w="1998" w:type="dxa"/>
            <w:tcBorders>
              <w:top w:val="single" w:sz="12" w:space="0" w:color="auto"/>
              <w:left w:val="single" w:sz="12" w:space="0" w:color="000000" w:themeColor="text1"/>
              <w:bottom w:val="dashed" w:sz="4" w:space="0" w:color="auto"/>
            </w:tcBorders>
            <w:shd w:val="clear" w:color="auto" w:fill="DBE5F1" w:themeFill="accent1" w:themeFillTint="33"/>
            <w:vAlign w:val="center"/>
          </w:tcPr>
          <w:p w14:paraId="01C374DC" w14:textId="77777777" w:rsidR="00CD71F3" w:rsidRPr="002B4E56" w:rsidRDefault="00CD71F3" w:rsidP="00170A32">
            <w:pPr>
              <w:jc w:val="center"/>
              <w:rPr>
                <w:sz w:val="14"/>
                <w:szCs w:val="14"/>
              </w:rPr>
            </w:pPr>
            <w:r w:rsidRPr="002B4E56">
              <w:rPr>
                <w:rFonts w:eastAsia="Times New Roman"/>
                <w:sz w:val="14"/>
                <w:szCs w:val="14"/>
              </w:rPr>
              <w:t>X-Rite Part Number</w:t>
            </w:r>
          </w:p>
        </w:tc>
        <w:tc>
          <w:tcPr>
            <w:tcW w:w="2520" w:type="dxa"/>
            <w:vMerge w:val="restart"/>
            <w:tcBorders>
              <w:top w:val="single" w:sz="12" w:space="0" w:color="auto"/>
            </w:tcBorders>
            <w:shd w:val="clear" w:color="auto" w:fill="DBE5F1" w:themeFill="accent1" w:themeFillTint="33"/>
            <w:vAlign w:val="center"/>
          </w:tcPr>
          <w:p w14:paraId="01C374DD" w14:textId="77777777" w:rsidR="00CD71F3" w:rsidRPr="002B4E56" w:rsidRDefault="00CD71F3" w:rsidP="00170A32">
            <w:pPr>
              <w:jc w:val="center"/>
              <w:rPr>
                <w:sz w:val="14"/>
                <w:szCs w:val="14"/>
              </w:rPr>
            </w:pPr>
            <w:r w:rsidRPr="002B4E56">
              <w:rPr>
                <w:rFonts w:eastAsia="Times New Roman"/>
                <w:sz w:val="14"/>
                <w:szCs w:val="14"/>
              </w:rPr>
              <w:t>Part or Material Description</w:t>
            </w:r>
          </w:p>
        </w:tc>
        <w:tc>
          <w:tcPr>
            <w:tcW w:w="810" w:type="dxa"/>
            <w:vMerge w:val="restart"/>
            <w:tcBorders>
              <w:top w:val="single" w:sz="12" w:space="0" w:color="auto"/>
            </w:tcBorders>
            <w:shd w:val="clear" w:color="auto" w:fill="DBE5F1" w:themeFill="accent1" w:themeFillTint="33"/>
            <w:vAlign w:val="center"/>
          </w:tcPr>
          <w:p w14:paraId="01C374DE" w14:textId="77777777" w:rsidR="00CD71F3" w:rsidRPr="002B4E56" w:rsidRDefault="00CD71F3" w:rsidP="00895E59">
            <w:pPr>
              <w:spacing w:before="120"/>
              <w:jc w:val="center"/>
              <w:rPr>
                <w:rFonts w:eastAsia="Times New Roman"/>
                <w:sz w:val="14"/>
                <w:szCs w:val="14"/>
              </w:rPr>
            </w:pPr>
            <w:r w:rsidRPr="002B4E56">
              <w:rPr>
                <w:rFonts w:eastAsia="Times New Roman"/>
                <w:sz w:val="14"/>
                <w:szCs w:val="14"/>
              </w:rPr>
              <w:t>Part or Material Weight (grams)</w:t>
            </w:r>
          </w:p>
        </w:tc>
        <w:tc>
          <w:tcPr>
            <w:tcW w:w="1080" w:type="dxa"/>
            <w:vMerge w:val="restart"/>
            <w:tcBorders>
              <w:top w:val="single" w:sz="12" w:space="0" w:color="auto"/>
            </w:tcBorders>
            <w:shd w:val="clear" w:color="auto" w:fill="DBE5F1" w:themeFill="accent1" w:themeFillTint="33"/>
            <w:vAlign w:val="center"/>
          </w:tcPr>
          <w:p w14:paraId="01C374DF" w14:textId="77777777" w:rsidR="00CD71F3" w:rsidRPr="002B4E56" w:rsidRDefault="00CD71F3" w:rsidP="00170A32">
            <w:pPr>
              <w:spacing w:before="120"/>
              <w:jc w:val="center"/>
              <w:rPr>
                <w:rFonts w:eastAsia="Times New Roman"/>
                <w:color w:val="000000"/>
                <w:sz w:val="14"/>
                <w:szCs w:val="14"/>
              </w:rPr>
            </w:pPr>
            <w:r w:rsidRPr="002B4E56">
              <w:rPr>
                <w:rFonts w:eastAsia="Times New Roman"/>
                <w:sz w:val="14"/>
                <w:szCs w:val="14"/>
              </w:rPr>
              <w:t>RoHS Compliant?</w:t>
            </w:r>
          </w:p>
        </w:tc>
        <w:tc>
          <w:tcPr>
            <w:tcW w:w="1170" w:type="dxa"/>
            <w:vMerge w:val="restart"/>
            <w:tcBorders>
              <w:top w:val="single" w:sz="12" w:space="0" w:color="auto"/>
            </w:tcBorders>
            <w:shd w:val="clear" w:color="auto" w:fill="DBE5F1" w:themeFill="accent1" w:themeFillTint="33"/>
            <w:vAlign w:val="center"/>
          </w:tcPr>
          <w:p w14:paraId="3CF695BA" w14:textId="77777777" w:rsidR="00CD71F3" w:rsidRPr="002B4E56" w:rsidRDefault="00CD71F3" w:rsidP="00851A55">
            <w:pPr>
              <w:jc w:val="center"/>
              <w:rPr>
                <w:rFonts w:eastAsia="Times New Roman"/>
                <w:sz w:val="14"/>
                <w:szCs w:val="14"/>
              </w:rPr>
            </w:pPr>
            <w:r w:rsidRPr="002B4E56">
              <w:rPr>
                <w:rFonts w:eastAsia="Times New Roman"/>
                <w:sz w:val="14"/>
                <w:szCs w:val="14"/>
              </w:rPr>
              <w:t>Any REACH SVHC Content in the article or sub-articles</w:t>
            </w:r>
          </w:p>
          <w:p w14:paraId="01C374E1" w14:textId="5ADAC966" w:rsidR="00CD71F3" w:rsidRPr="002B4E56" w:rsidRDefault="00CD71F3" w:rsidP="00170A32">
            <w:pPr>
              <w:jc w:val="center"/>
              <w:rPr>
                <w:rFonts w:eastAsia="Times New Roman"/>
                <w:color w:val="000000"/>
                <w:sz w:val="14"/>
                <w:szCs w:val="14"/>
              </w:rPr>
            </w:pPr>
            <w:r w:rsidRPr="002B4E56">
              <w:rPr>
                <w:rFonts w:eastAsia="Times New Roman"/>
                <w:sz w:val="14"/>
                <w:szCs w:val="14"/>
              </w:rPr>
              <w:t xml:space="preserve">&gt; 0.1% </w:t>
            </w:r>
            <w:proofErr w:type="spellStart"/>
            <w:r w:rsidRPr="002B4E56">
              <w:rPr>
                <w:rFonts w:eastAsia="Times New Roman"/>
                <w:sz w:val="14"/>
                <w:szCs w:val="14"/>
              </w:rPr>
              <w:t>wt</w:t>
            </w:r>
            <w:proofErr w:type="spellEnd"/>
            <w:r w:rsidRPr="002B4E56">
              <w:rPr>
                <w:rFonts w:eastAsia="Times New Roman"/>
                <w:sz w:val="14"/>
                <w:szCs w:val="14"/>
              </w:rPr>
              <w:t>/</w:t>
            </w:r>
            <w:proofErr w:type="spellStart"/>
            <w:r w:rsidRPr="002B4E56">
              <w:rPr>
                <w:rFonts w:eastAsia="Times New Roman"/>
                <w:sz w:val="14"/>
                <w:szCs w:val="14"/>
              </w:rPr>
              <w:t>wt</w:t>
            </w:r>
            <w:proofErr w:type="spellEnd"/>
            <w:r w:rsidRPr="002B4E56">
              <w:rPr>
                <w:rFonts w:eastAsia="Times New Roman"/>
                <w:sz w:val="14"/>
                <w:szCs w:val="14"/>
              </w:rPr>
              <w:t>?</w:t>
            </w:r>
          </w:p>
        </w:tc>
        <w:tc>
          <w:tcPr>
            <w:tcW w:w="1080" w:type="dxa"/>
            <w:vMerge w:val="restart"/>
            <w:tcBorders>
              <w:top w:val="single" w:sz="12" w:space="0" w:color="auto"/>
            </w:tcBorders>
            <w:shd w:val="clear" w:color="auto" w:fill="DBE5F1" w:themeFill="accent1" w:themeFillTint="33"/>
            <w:vAlign w:val="center"/>
          </w:tcPr>
          <w:p w14:paraId="01C374E2" w14:textId="5745716E" w:rsidR="00CD71F3" w:rsidRPr="002B4E56" w:rsidRDefault="00CD71F3" w:rsidP="00170A32">
            <w:pPr>
              <w:jc w:val="center"/>
              <w:rPr>
                <w:rFonts w:eastAsia="Times New Roman"/>
                <w:color w:val="000000"/>
                <w:sz w:val="14"/>
                <w:szCs w:val="14"/>
              </w:rPr>
            </w:pPr>
            <w:r w:rsidRPr="002B4E56">
              <w:rPr>
                <w:rFonts w:eastAsia="Times New Roman"/>
                <w:sz w:val="14"/>
                <w:szCs w:val="14"/>
              </w:rPr>
              <w:t>Any Additional Restricted or Reportable Substances?</w:t>
            </w:r>
          </w:p>
        </w:tc>
        <w:tc>
          <w:tcPr>
            <w:tcW w:w="3780" w:type="dxa"/>
            <w:vMerge w:val="restart"/>
            <w:tcBorders>
              <w:top w:val="single" w:sz="12" w:space="0" w:color="auto"/>
            </w:tcBorders>
            <w:shd w:val="clear" w:color="auto" w:fill="DBE5F1" w:themeFill="accent1" w:themeFillTint="33"/>
            <w:vAlign w:val="center"/>
          </w:tcPr>
          <w:p w14:paraId="01C374E3" w14:textId="77777777" w:rsidR="00CD71F3" w:rsidRPr="002B4E56" w:rsidRDefault="00CD71F3" w:rsidP="00895E59">
            <w:pPr>
              <w:rPr>
                <w:rFonts w:eastAsia="Times New Roman"/>
                <w:sz w:val="14"/>
                <w:szCs w:val="14"/>
              </w:rPr>
            </w:pPr>
            <w:r w:rsidRPr="002B4E56">
              <w:rPr>
                <w:rFonts w:eastAsia="Times New Roman"/>
                <w:sz w:val="14"/>
                <w:szCs w:val="14"/>
              </w:rPr>
              <w:t>Please list and/or explain any:</w:t>
            </w:r>
          </w:p>
          <w:p w14:paraId="09F3D8C0" w14:textId="77777777" w:rsidR="00CD71F3" w:rsidRPr="002B4E56" w:rsidRDefault="00CD71F3" w:rsidP="001F53FB">
            <w:pPr>
              <w:pStyle w:val="ListParagraph"/>
              <w:numPr>
                <w:ilvl w:val="0"/>
                <w:numId w:val="29"/>
              </w:numPr>
              <w:ind w:left="162" w:hanging="162"/>
              <w:rPr>
                <w:rFonts w:eastAsia="Times New Roman"/>
                <w:color w:val="000000" w:themeColor="text1"/>
                <w:sz w:val="14"/>
                <w:szCs w:val="14"/>
              </w:rPr>
            </w:pPr>
            <w:r w:rsidRPr="002B4E56">
              <w:rPr>
                <w:rFonts w:eastAsia="Times New Roman"/>
                <w:color w:val="000000" w:themeColor="text1"/>
                <w:sz w:val="14"/>
                <w:szCs w:val="14"/>
              </w:rPr>
              <w:t>RoHS Annex III &amp; IV exemptions used for compliance</w:t>
            </w:r>
          </w:p>
          <w:p w14:paraId="01C374E5" w14:textId="77777777" w:rsidR="00CD71F3" w:rsidRPr="002B4E56" w:rsidRDefault="00CD71F3" w:rsidP="001F53FB">
            <w:pPr>
              <w:pStyle w:val="ListParagraph"/>
              <w:numPr>
                <w:ilvl w:val="0"/>
                <w:numId w:val="29"/>
              </w:numPr>
              <w:ind w:left="162" w:hanging="162"/>
              <w:rPr>
                <w:rFonts w:eastAsia="Times New Roman"/>
                <w:sz w:val="14"/>
                <w:szCs w:val="14"/>
              </w:rPr>
            </w:pPr>
            <w:r w:rsidRPr="002B4E56">
              <w:rPr>
                <w:rFonts w:eastAsia="Times New Roman"/>
                <w:sz w:val="14"/>
                <w:szCs w:val="14"/>
              </w:rPr>
              <w:t>SVHC concentrations &gt; 0.1% (list substance and actual content)</w:t>
            </w:r>
          </w:p>
          <w:p w14:paraId="01C374E6" w14:textId="77777777" w:rsidR="00CD71F3" w:rsidRPr="002B4E56" w:rsidRDefault="00CD71F3" w:rsidP="001F53FB">
            <w:pPr>
              <w:pStyle w:val="ListParagraph"/>
              <w:numPr>
                <w:ilvl w:val="0"/>
                <w:numId w:val="29"/>
              </w:numPr>
              <w:ind w:left="162" w:hanging="162"/>
              <w:rPr>
                <w:rFonts w:eastAsia="Times New Roman"/>
                <w:sz w:val="14"/>
                <w:szCs w:val="14"/>
              </w:rPr>
            </w:pPr>
            <w:r w:rsidRPr="002B4E56">
              <w:rPr>
                <w:rFonts w:eastAsia="Times New Roman"/>
                <w:sz w:val="14"/>
                <w:szCs w:val="14"/>
              </w:rPr>
              <w:t>Additional Substances that exceed stated threshold (list substance and actual content)</w:t>
            </w:r>
          </w:p>
        </w:tc>
        <w:tc>
          <w:tcPr>
            <w:tcW w:w="720" w:type="dxa"/>
            <w:vMerge w:val="restart"/>
            <w:tcBorders>
              <w:top w:val="single" w:sz="12" w:space="0" w:color="auto"/>
              <w:right w:val="single" w:sz="12" w:space="0" w:color="000000" w:themeColor="text1"/>
            </w:tcBorders>
            <w:shd w:val="clear" w:color="auto" w:fill="DBE5F1" w:themeFill="accent1" w:themeFillTint="33"/>
            <w:vAlign w:val="center"/>
          </w:tcPr>
          <w:p w14:paraId="01C374E7" w14:textId="77777777" w:rsidR="00CD71F3" w:rsidRPr="002B4E56" w:rsidRDefault="00CD71F3" w:rsidP="00170A32">
            <w:pPr>
              <w:jc w:val="center"/>
              <w:rPr>
                <w:sz w:val="14"/>
                <w:szCs w:val="14"/>
              </w:rPr>
            </w:pPr>
            <w:r w:rsidRPr="002B4E56">
              <w:rPr>
                <w:rFonts w:eastAsia="Times New Roman"/>
                <w:sz w:val="14"/>
                <w:szCs w:val="14"/>
              </w:rPr>
              <w:t>% or ppm</w:t>
            </w:r>
          </w:p>
        </w:tc>
      </w:tr>
      <w:tr w:rsidR="00810FBB" w:rsidRPr="002B4E56" w14:paraId="01C374F1" w14:textId="77777777" w:rsidTr="00030736">
        <w:trPr>
          <w:trHeight w:val="468"/>
        </w:trPr>
        <w:tc>
          <w:tcPr>
            <w:tcW w:w="1998" w:type="dxa"/>
            <w:tcBorders>
              <w:top w:val="dashed" w:sz="4" w:space="0" w:color="auto"/>
              <w:left w:val="single" w:sz="12" w:space="0" w:color="000000" w:themeColor="text1"/>
              <w:bottom w:val="single" w:sz="12" w:space="0" w:color="auto"/>
            </w:tcBorders>
            <w:shd w:val="clear" w:color="auto" w:fill="DBE5F1" w:themeFill="accent1" w:themeFillTint="33"/>
            <w:vAlign w:val="center"/>
          </w:tcPr>
          <w:p w14:paraId="01C374E9" w14:textId="77777777" w:rsidR="00810FBB" w:rsidRPr="002B4E56" w:rsidRDefault="00810FBB" w:rsidP="00170A32">
            <w:pPr>
              <w:jc w:val="center"/>
              <w:rPr>
                <w:sz w:val="14"/>
                <w:szCs w:val="14"/>
              </w:rPr>
            </w:pPr>
            <w:r w:rsidRPr="002B4E56">
              <w:rPr>
                <w:rFonts w:eastAsia="Times New Roman"/>
                <w:sz w:val="14"/>
                <w:szCs w:val="14"/>
              </w:rPr>
              <w:t>Provider Part Number</w:t>
            </w:r>
          </w:p>
        </w:tc>
        <w:tc>
          <w:tcPr>
            <w:tcW w:w="2520" w:type="dxa"/>
            <w:vMerge/>
            <w:tcBorders>
              <w:bottom w:val="single" w:sz="12" w:space="0" w:color="auto"/>
            </w:tcBorders>
            <w:shd w:val="clear" w:color="auto" w:fill="DBE5F1" w:themeFill="accent1" w:themeFillTint="33"/>
            <w:vAlign w:val="center"/>
          </w:tcPr>
          <w:p w14:paraId="01C374EA" w14:textId="77777777" w:rsidR="00810FBB" w:rsidRPr="002B4E56" w:rsidRDefault="00810FBB" w:rsidP="00170A32">
            <w:pPr>
              <w:jc w:val="center"/>
              <w:rPr>
                <w:sz w:val="14"/>
                <w:szCs w:val="14"/>
              </w:rPr>
            </w:pPr>
          </w:p>
        </w:tc>
        <w:tc>
          <w:tcPr>
            <w:tcW w:w="810" w:type="dxa"/>
            <w:vMerge/>
            <w:tcBorders>
              <w:bottom w:val="single" w:sz="12" w:space="0" w:color="auto"/>
            </w:tcBorders>
            <w:shd w:val="clear" w:color="auto" w:fill="DBE5F1" w:themeFill="accent1" w:themeFillTint="33"/>
          </w:tcPr>
          <w:p w14:paraId="01C374EB" w14:textId="77777777" w:rsidR="00810FBB" w:rsidRPr="002B4E56" w:rsidRDefault="00810FBB" w:rsidP="00170A32">
            <w:pPr>
              <w:spacing w:before="120"/>
              <w:jc w:val="center"/>
              <w:rPr>
                <w:rFonts w:eastAsia="Times New Roman"/>
                <w:color w:val="000000"/>
                <w:sz w:val="14"/>
                <w:szCs w:val="14"/>
              </w:rPr>
            </w:pPr>
          </w:p>
        </w:tc>
        <w:tc>
          <w:tcPr>
            <w:tcW w:w="1080" w:type="dxa"/>
            <w:vMerge/>
            <w:tcBorders>
              <w:bottom w:val="single" w:sz="12" w:space="0" w:color="auto"/>
            </w:tcBorders>
            <w:shd w:val="clear" w:color="auto" w:fill="DBE5F1" w:themeFill="accent1" w:themeFillTint="33"/>
            <w:vAlign w:val="center"/>
          </w:tcPr>
          <w:p w14:paraId="01C374EC" w14:textId="77777777" w:rsidR="00810FBB" w:rsidRPr="002B4E56" w:rsidRDefault="00810FBB" w:rsidP="00170A32">
            <w:pPr>
              <w:spacing w:before="120"/>
              <w:jc w:val="center"/>
              <w:rPr>
                <w:rFonts w:eastAsia="Times New Roman"/>
                <w:color w:val="000000"/>
                <w:sz w:val="14"/>
                <w:szCs w:val="14"/>
              </w:rPr>
            </w:pPr>
          </w:p>
        </w:tc>
        <w:tc>
          <w:tcPr>
            <w:tcW w:w="1170" w:type="dxa"/>
            <w:vMerge/>
            <w:tcBorders>
              <w:bottom w:val="single" w:sz="12" w:space="0" w:color="auto"/>
            </w:tcBorders>
            <w:shd w:val="clear" w:color="auto" w:fill="DBE5F1" w:themeFill="accent1" w:themeFillTint="33"/>
            <w:vAlign w:val="center"/>
          </w:tcPr>
          <w:p w14:paraId="01C374ED" w14:textId="77777777" w:rsidR="00810FBB" w:rsidRPr="002B4E56" w:rsidRDefault="00810FBB" w:rsidP="00170A32">
            <w:pPr>
              <w:jc w:val="center"/>
              <w:rPr>
                <w:rFonts w:eastAsia="Times New Roman"/>
                <w:color w:val="000000"/>
                <w:sz w:val="14"/>
                <w:szCs w:val="14"/>
              </w:rPr>
            </w:pPr>
          </w:p>
        </w:tc>
        <w:tc>
          <w:tcPr>
            <w:tcW w:w="1080" w:type="dxa"/>
            <w:vMerge/>
            <w:tcBorders>
              <w:bottom w:val="single" w:sz="12" w:space="0" w:color="auto"/>
            </w:tcBorders>
            <w:shd w:val="clear" w:color="auto" w:fill="DBE5F1" w:themeFill="accent1" w:themeFillTint="33"/>
            <w:vAlign w:val="center"/>
          </w:tcPr>
          <w:p w14:paraId="01C374EE" w14:textId="77777777" w:rsidR="00810FBB" w:rsidRPr="002B4E56" w:rsidRDefault="00810FBB" w:rsidP="00170A32">
            <w:pPr>
              <w:jc w:val="center"/>
              <w:rPr>
                <w:rFonts w:eastAsia="Times New Roman"/>
                <w:color w:val="000000"/>
                <w:sz w:val="14"/>
                <w:szCs w:val="14"/>
              </w:rPr>
            </w:pPr>
          </w:p>
        </w:tc>
        <w:tc>
          <w:tcPr>
            <w:tcW w:w="3780" w:type="dxa"/>
            <w:vMerge/>
            <w:tcBorders>
              <w:bottom w:val="single" w:sz="12" w:space="0" w:color="auto"/>
            </w:tcBorders>
            <w:shd w:val="clear" w:color="auto" w:fill="DBE5F1" w:themeFill="accent1" w:themeFillTint="33"/>
            <w:vAlign w:val="center"/>
          </w:tcPr>
          <w:p w14:paraId="01C374EF" w14:textId="77777777" w:rsidR="00810FBB" w:rsidRPr="002B4E56" w:rsidRDefault="00810FBB" w:rsidP="00170A32">
            <w:pPr>
              <w:jc w:val="center"/>
              <w:rPr>
                <w:sz w:val="14"/>
                <w:szCs w:val="14"/>
              </w:rPr>
            </w:pPr>
          </w:p>
        </w:tc>
        <w:tc>
          <w:tcPr>
            <w:tcW w:w="720" w:type="dxa"/>
            <w:vMerge/>
            <w:tcBorders>
              <w:bottom w:val="single" w:sz="12" w:space="0" w:color="auto"/>
              <w:right w:val="single" w:sz="12" w:space="0" w:color="000000" w:themeColor="text1"/>
            </w:tcBorders>
            <w:shd w:val="clear" w:color="auto" w:fill="DBE5F1" w:themeFill="accent1" w:themeFillTint="33"/>
            <w:vAlign w:val="center"/>
          </w:tcPr>
          <w:p w14:paraId="01C374F0" w14:textId="77777777" w:rsidR="00810FBB" w:rsidRPr="002B4E56" w:rsidRDefault="00810FBB" w:rsidP="00170A32">
            <w:pPr>
              <w:jc w:val="center"/>
              <w:rPr>
                <w:sz w:val="14"/>
                <w:szCs w:val="14"/>
              </w:rPr>
            </w:pPr>
          </w:p>
        </w:tc>
      </w:tr>
      <w:tr w:rsidR="00810FBB" w:rsidRPr="002B4E56" w14:paraId="01C3750F" w14:textId="77777777" w:rsidTr="00030736">
        <w:trPr>
          <w:trHeight w:val="473"/>
        </w:trPr>
        <w:tc>
          <w:tcPr>
            <w:tcW w:w="1998" w:type="dxa"/>
            <w:tcBorders>
              <w:top w:val="single" w:sz="12" w:space="0" w:color="auto"/>
              <w:left w:val="single" w:sz="12" w:space="0" w:color="000000" w:themeColor="text1"/>
              <w:bottom w:val="dashed" w:sz="4" w:space="0" w:color="auto"/>
            </w:tcBorders>
          </w:tcPr>
          <w:p w14:paraId="01C374F2" w14:textId="77777777" w:rsidR="00810FBB" w:rsidRPr="00CF2D28" w:rsidRDefault="00810FBB" w:rsidP="00170A32">
            <w:pPr>
              <w:spacing w:line="360" w:lineRule="auto"/>
              <w:rPr>
                <w:sz w:val="18"/>
                <w:szCs w:val="20"/>
              </w:rPr>
            </w:pPr>
          </w:p>
        </w:tc>
        <w:tc>
          <w:tcPr>
            <w:tcW w:w="2520" w:type="dxa"/>
            <w:vMerge w:val="restart"/>
            <w:tcBorders>
              <w:top w:val="single" w:sz="12" w:space="0" w:color="auto"/>
            </w:tcBorders>
          </w:tcPr>
          <w:p w14:paraId="01C374F3" w14:textId="77777777" w:rsidR="00810FBB" w:rsidRPr="00CF2D28" w:rsidRDefault="00810FBB" w:rsidP="00170A32">
            <w:pPr>
              <w:spacing w:line="360" w:lineRule="auto"/>
              <w:rPr>
                <w:sz w:val="18"/>
                <w:szCs w:val="20"/>
              </w:rPr>
            </w:pPr>
          </w:p>
        </w:tc>
        <w:tc>
          <w:tcPr>
            <w:tcW w:w="810" w:type="dxa"/>
            <w:vMerge w:val="restart"/>
            <w:tcBorders>
              <w:top w:val="single" w:sz="12" w:space="0" w:color="auto"/>
            </w:tcBorders>
          </w:tcPr>
          <w:p w14:paraId="01C374F4" w14:textId="77777777" w:rsidR="00810FBB" w:rsidRPr="00CF2D28" w:rsidRDefault="00810FBB" w:rsidP="00170A32">
            <w:pPr>
              <w:ind w:left="-54"/>
              <w:jc w:val="right"/>
              <w:rPr>
                <w:rFonts w:eastAsia="Times New Roman"/>
                <w:color w:val="000000"/>
                <w:sz w:val="18"/>
                <w:szCs w:val="20"/>
              </w:rPr>
            </w:pPr>
          </w:p>
        </w:tc>
        <w:tc>
          <w:tcPr>
            <w:tcW w:w="108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810FBB" w:rsidRPr="002B4E56" w14:paraId="01C374F7" w14:textId="77777777" w:rsidTr="00170A32">
              <w:trPr>
                <w:trHeight w:hRule="exact" w:val="216"/>
                <w:tblCellSpacing w:w="14" w:type="dxa"/>
              </w:trPr>
              <w:tc>
                <w:tcPr>
                  <w:tcW w:w="601" w:type="dxa"/>
                  <w:vAlign w:val="center"/>
                </w:tcPr>
                <w:p w14:paraId="01C374F5" w14:textId="77777777" w:rsidR="00810FBB" w:rsidRPr="002B4E56" w:rsidRDefault="00810FBB" w:rsidP="00170A32">
                  <w:pPr>
                    <w:ind w:left="-54"/>
                    <w:jc w:val="right"/>
                    <w:rPr>
                      <w:rFonts w:eastAsia="Times New Roman"/>
                      <w:color w:val="000000"/>
                      <w:sz w:val="14"/>
                      <w:szCs w:val="14"/>
                    </w:rPr>
                  </w:pPr>
                  <w:r w:rsidRPr="002B4E56">
                    <w:rPr>
                      <w:rFonts w:eastAsia="Times New Roman"/>
                      <w:color w:val="000000"/>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F6" w14:textId="77777777" w:rsidR="00810FBB" w:rsidRPr="002B4E56" w:rsidRDefault="00810FBB" w:rsidP="00170A32">
                  <w:pPr>
                    <w:jc w:val="center"/>
                    <w:rPr>
                      <w:rFonts w:eastAsia="Times New Roman"/>
                      <w:color w:val="000000"/>
                      <w:sz w:val="14"/>
                      <w:szCs w:val="14"/>
                    </w:rPr>
                  </w:pPr>
                </w:p>
              </w:tc>
            </w:tr>
            <w:tr w:rsidR="00810FBB" w:rsidRPr="002B4E56" w14:paraId="01C374FA" w14:textId="77777777" w:rsidTr="00170A32">
              <w:trPr>
                <w:trHeight w:hRule="exact" w:val="216"/>
                <w:tblCellSpacing w:w="14" w:type="dxa"/>
              </w:trPr>
              <w:tc>
                <w:tcPr>
                  <w:tcW w:w="601" w:type="dxa"/>
                  <w:vAlign w:val="center"/>
                </w:tcPr>
                <w:p w14:paraId="01C374F8" w14:textId="77777777" w:rsidR="00810FBB" w:rsidRPr="002B4E56" w:rsidRDefault="00810FBB" w:rsidP="00170A32">
                  <w:pPr>
                    <w:ind w:left="-54"/>
                    <w:jc w:val="right"/>
                    <w:rPr>
                      <w:rFonts w:eastAsia="Times New Roman"/>
                      <w:color w:val="000000"/>
                      <w:sz w:val="14"/>
                      <w:szCs w:val="14"/>
                    </w:rPr>
                  </w:pPr>
                  <w:r w:rsidRPr="002B4E56">
                    <w:rPr>
                      <w:rFonts w:eastAsia="Times New Roman"/>
                      <w:color w:val="000000"/>
                      <w:sz w:val="14"/>
                      <w:szCs w:val="14"/>
                    </w:rPr>
                    <w:t>No</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F9" w14:textId="77777777" w:rsidR="00810FBB" w:rsidRPr="002B4E56" w:rsidRDefault="00810FBB" w:rsidP="00170A32">
                  <w:pPr>
                    <w:rPr>
                      <w:rFonts w:eastAsia="Times New Roman"/>
                      <w:color w:val="000000"/>
                      <w:sz w:val="14"/>
                      <w:szCs w:val="14"/>
                    </w:rPr>
                  </w:pPr>
                </w:p>
              </w:tc>
            </w:tr>
            <w:tr w:rsidR="00810FBB" w:rsidRPr="002B4E56" w14:paraId="01C374FD" w14:textId="77777777" w:rsidTr="00170A32">
              <w:trPr>
                <w:trHeight w:hRule="exact" w:val="216"/>
                <w:tblCellSpacing w:w="14" w:type="dxa"/>
              </w:trPr>
              <w:tc>
                <w:tcPr>
                  <w:tcW w:w="601" w:type="dxa"/>
                  <w:vAlign w:val="center"/>
                </w:tcPr>
                <w:p w14:paraId="01C374FB" w14:textId="045D8FFD" w:rsidR="00810FBB" w:rsidRPr="002B4E56" w:rsidRDefault="00BE6376" w:rsidP="00170A32">
                  <w:pPr>
                    <w:jc w:val="right"/>
                    <w:rPr>
                      <w:rFonts w:eastAsia="Times New Roman"/>
                      <w:color w:val="000000"/>
                      <w:sz w:val="14"/>
                      <w:szCs w:val="14"/>
                    </w:rPr>
                  </w:pPr>
                  <w:r w:rsidRPr="002B4E56">
                    <w:rPr>
                      <w:rFonts w:eastAsia="Times New Roman"/>
                      <w:color w:val="000000"/>
                      <w:sz w:val="14"/>
                      <w:szCs w:val="14"/>
                    </w:rPr>
                    <w:t>Yes, by</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FC" w14:textId="77777777" w:rsidR="00810FBB" w:rsidRPr="002B4E56" w:rsidRDefault="00810FBB" w:rsidP="00170A32">
                  <w:pPr>
                    <w:jc w:val="center"/>
                    <w:rPr>
                      <w:rFonts w:eastAsia="Times New Roman"/>
                      <w:color w:val="000000"/>
                      <w:sz w:val="14"/>
                      <w:szCs w:val="14"/>
                    </w:rPr>
                  </w:pPr>
                </w:p>
              </w:tc>
            </w:tr>
          </w:tbl>
          <w:p w14:paraId="01C374FE" w14:textId="3C90442C" w:rsidR="00810FBB" w:rsidRPr="002B4E56" w:rsidRDefault="00BE6376" w:rsidP="00170A32">
            <w:pPr>
              <w:spacing w:line="360" w:lineRule="auto"/>
              <w:jc w:val="center"/>
              <w:rPr>
                <w:rFonts w:eastAsia="Times New Roman"/>
                <w:color w:val="000000"/>
                <w:sz w:val="14"/>
                <w:szCs w:val="14"/>
              </w:rPr>
            </w:pPr>
            <w:r w:rsidRPr="002B4E56">
              <w:rPr>
                <w:rFonts w:eastAsia="Times New Roman"/>
                <w:color w:val="000000"/>
                <w:sz w:val="14"/>
                <w:szCs w:val="14"/>
              </w:rPr>
              <w:t>Exemption</w:t>
            </w:r>
          </w:p>
        </w:tc>
        <w:tc>
          <w:tcPr>
            <w:tcW w:w="117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810FBB" w:rsidRPr="002B4E56" w14:paraId="01C37501" w14:textId="77777777" w:rsidTr="00170A32">
              <w:trPr>
                <w:trHeight w:hRule="exact" w:val="216"/>
                <w:tblCellSpacing w:w="14" w:type="dxa"/>
              </w:trPr>
              <w:tc>
                <w:tcPr>
                  <w:tcW w:w="601" w:type="dxa"/>
                  <w:vAlign w:val="center"/>
                </w:tcPr>
                <w:p w14:paraId="01C374FF" w14:textId="77777777" w:rsidR="00810FBB" w:rsidRPr="002B4E56" w:rsidRDefault="00810FBB" w:rsidP="00170A32">
                  <w:pPr>
                    <w:ind w:left="-54"/>
                    <w:jc w:val="right"/>
                    <w:rPr>
                      <w:rFonts w:eastAsia="Times New Roman"/>
                      <w:color w:val="000000"/>
                      <w:sz w:val="14"/>
                      <w:szCs w:val="14"/>
                    </w:rPr>
                  </w:pPr>
                  <w:r w:rsidRPr="002B4E56">
                    <w:rPr>
                      <w:rFonts w:eastAsia="Times New Roman"/>
                      <w:color w:val="000000"/>
                      <w:sz w:val="14"/>
                      <w:szCs w:val="14"/>
                    </w:rPr>
                    <w:t>None</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00" w14:textId="77777777" w:rsidR="00810FBB" w:rsidRPr="002B4E56" w:rsidRDefault="00810FBB" w:rsidP="00170A32">
                  <w:pPr>
                    <w:jc w:val="center"/>
                    <w:rPr>
                      <w:rFonts w:eastAsia="Times New Roman"/>
                      <w:color w:val="000000"/>
                      <w:sz w:val="14"/>
                      <w:szCs w:val="14"/>
                    </w:rPr>
                  </w:pPr>
                </w:p>
              </w:tc>
            </w:tr>
            <w:tr w:rsidR="00810FBB" w:rsidRPr="002B4E56" w14:paraId="01C37504" w14:textId="77777777" w:rsidTr="00170A32">
              <w:trPr>
                <w:trHeight w:hRule="exact" w:val="216"/>
                <w:tblCellSpacing w:w="14" w:type="dxa"/>
              </w:trPr>
              <w:tc>
                <w:tcPr>
                  <w:tcW w:w="601" w:type="dxa"/>
                  <w:vAlign w:val="center"/>
                </w:tcPr>
                <w:p w14:paraId="01C37502" w14:textId="77777777" w:rsidR="00810FBB" w:rsidRPr="002B4E56" w:rsidRDefault="00810FBB" w:rsidP="00170A32">
                  <w:pPr>
                    <w:ind w:left="-54"/>
                    <w:jc w:val="right"/>
                    <w:rPr>
                      <w:rFonts w:eastAsia="Times New Roman"/>
                      <w:color w:val="000000"/>
                      <w:sz w:val="14"/>
                      <w:szCs w:val="14"/>
                    </w:rPr>
                  </w:pPr>
                  <w:r w:rsidRPr="002B4E56">
                    <w:rPr>
                      <w:rFonts w:eastAsia="Times New Roman"/>
                      <w:color w:val="000000"/>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03" w14:textId="77777777" w:rsidR="00810FBB" w:rsidRPr="002B4E56" w:rsidRDefault="00810FBB" w:rsidP="00170A32">
                  <w:pPr>
                    <w:rPr>
                      <w:rFonts w:eastAsia="Times New Roman"/>
                      <w:color w:val="000000"/>
                      <w:sz w:val="14"/>
                      <w:szCs w:val="14"/>
                    </w:rPr>
                  </w:pPr>
                </w:p>
              </w:tc>
            </w:tr>
          </w:tbl>
          <w:p w14:paraId="01C37505" w14:textId="77777777" w:rsidR="00810FBB" w:rsidRPr="002B4E56" w:rsidRDefault="00810FBB" w:rsidP="00170A32">
            <w:pPr>
              <w:spacing w:line="360" w:lineRule="auto"/>
              <w:jc w:val="center"/>
              <w:rPr>
                <w:rFonts w:eastAsia="Times New Roman"/>
                <w:color w:val="000000"/>
                <w:sz w:val="14"/>
                <w:szCs w:val="14"/>
              </w:rPr>
            </w:pPr>
          </w:p>
        </w:tc>
        <w:tc>
          <w:tcPr>
            <w:tcW w:w="108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810FBB" w:rsidRPr="002B4E56" w14:paraId="01C37508" w14:textId="77777777" w:rsidTr="00170A32">
              <w:trPr>
                <w:trHeight w:hRule="exact" w:val="216"/>
                <w:tblCellSpacing w:w="14" w:type="dxa"/>
              </w:trPr>
              <w:tc>
                <w:tcPr>
                  <w:tcW w:w="601" w:type="dxa"/>
                  <w:vAlign w:val="center"/>
                </w:tcPr>
                <w:p w14:paraId="01C37506" w14:textId="77777777" w:rsidR="00810FBB" w:rsidRPr="002B4E56" w:rsidRDefault="00810FBB" w:rsidP="00170A32">
                  <w:pPr>
                    <w:ind w:left="-54"/>
                    <w:jc w:val="right"/>
                    <w:rPr>
                      <w:rFonts w:eastAsia="Times New Roman"/>
                      <w:color w:val="000000"/>
                      <w:sz w:val="14"/>
                      <w:szCs w:val="14"/>
                    </w:rPr>
                  </w:pPr>
                  <w:r w:rsidRPr="002B4E56">
                    <w:rPr>
                      <w:rFonts w:eastAsia="Times New Roman"/>
                      <w:color w:val="000000"/>
                      <w:sz w:val="14"/>
                      <w:szCs w:val="14"/>
                    </w:rPr>
                    <w:t>None</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07" w14:textId="77777777" w:rsidR="00810FBB" w:rsidRPr="002B4E56" w:rsidRDefault="00810FBB" w:rsidP="00170A32">
                  <w:pPr>
                    <w:jc w:val="center"/>
                    <w:rPr>
                      <w:rFonts w:eastAsia="Times New Roman"/>
                      <w:color w:val="000000"/>
                      <w:sz w:val="14"/>
                      <w:szCs w:val="14"/>
                    </w:rPr>
                  </w:pPr>
                </w:p>
              </w:tc>
            </w:tr>
            <w:tr w:rsidR="00810FBB" w:rsidRPr="002B4E56" w14:paraId="01C3750B" w14:textId="77777777" w:rsidTr="00170A32">
              <w:trPr>
                <w:trHeight w:hRule="exact" w:val="216"/>
                <w:tblCellSpacing w:w="14" w:type="dxa"/>
              </w:trPr>
              <w:tc>
                <w:tcPr>
                  <w:tcW w:w="601" w:type="dxa"/>
                  <w:vAlign w:val="center"/>
                </w:tcPr>
                <w:p w14:paraId="01C37509" w14:textId="77777777" w:rsidR="00810FBB" w:rsidRPr="002B4E56" w:rsidRDefault="00810FBB" w:rsidP="00170A32">
                  <w:pPr>
                    <w:ind w:left="-54"/>
                    <w:jc w:val="right"/>
                    <w:rPr>
                      <w:rFonts w:eastAsia="Times New Roman"/>
                      <w:color w:val="000000"/>
                      <w:sz w:val="14"/>
                      <w:szCs w:val="14"/>
                    </w:rPr>
                  </w:pPr>
                  <w:r w:rsidRPr="002B4E56">
                    <w:rPr>
                      <w:rFonts w:eastAsia="Times New Roman"/>
                      <w:color w:val="000000"/>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0A" w14:textId="77777777" w:rsidR="00810FBB" w:rsidRPr="002B4E56" w:rsidRDefault="00810FBB" w:rsidP="00170A32">
                  <w:pPr>
                    <w:rPr>
                      <w:rFonts w:eastAsia="Times New Roman"/>
                      <w:color w:val="000000"/>
                      <w:sz w:val="14"/>
                      <w:szCs w:val="14"/>
                    </w:rPr>
                  </w:pPr>
                </w:p>
              </w:tc>
            </w:tr>
          </w:tbl>
          <w:p w14:paraId="01C3750C" w14:textId="77777777" w:rsidR="00810FBB" w:rsidRPr="002B4E56" w:rsidRDefault="00810FBB" w:rsidP="00170A32">
            <w:pPr>
              <w:spacing w:line="360" w:lineRule="auto"/>
              <w:jc w:val="center"/>
              <w:rPr>
                <w:rFonts w:eastAsia="Times New Roman"/>
                <w:color w:val="000000"/>
                <w:sz w:val="14"/>
                <w:szCs w:val="14"/>
              </w:rPr>
            </w:pPr>
          </w:p>
        </w:tc>
        <w:tc>
          <w:tcPr>
            <w:tcW w:w="3780" w:type="dxa"/>
            <w:vMerge w:val="restart"/>
            <w:tcBorders>
              <w:top w:val="single" w:sz="12" w:space="0" w:color="auto"/>
            </w:tcBorders>
          </w:tcPr>
          <w:p w14:paraId="01C3750D" w14:textId="77777777" w:rsidR="00810FBB" w:rsidRPr="00CF2D28" w:rsidRDefault="00810FBB" w:rsidP="00170A32">
            <w:pPr>
              <w:spacing w:line="360" w:lineRule="auto"/>
              <w:rPr>
                <w:sz w:val="18"/>
                <w:szCs w:val="20"/>
              </w:rPr>
            </w:pPr>
          </w:p>
        </w:tc>
        <w:tc>
          <w:tcPr>
            <w:tcW w:w="720" w:type="dxa"/>
            <w:vMerge w:val="restart"/>
            <w:tcBorders>
              <w:top w:val="single" w:sz="12" w:space="0" w:color="auto"/>
              <w:right w:val="single" w:sz="12" w:space="0" w:color="000000" w:themeColor="text1"/>
            </w:tcBorders>
          </w:tcPr>
          <w:p w14:paraId="01C3750E" w14:textId="77777777" w:rsidR="00810FBB" w:rsidRPr="00CF2D28" w:rsidRDefault="00810FBB" w:rsidP="00170A32">
            <w:pPr>
              <w:spacing w:line="360" w:lineRule="auto"/>
              <w:rPr>
                <w:sz w:val="18"/>
                <w:szCs w:val="20"/>
              </w:rPr>
            </w:pPr>
          </w:p>
        </w:tc>
      </w:tr>
      <w:tr w:rsidR="00810FBB" w:rsidRPr="002B4E56" w14:paraId="01C37518" w14:textId="77777777" w:rsidTr="00030736">
        <w:trPr>
          <w:trHeight w:val="472"/>
        </w:trPr>
        <w:tc>
          <w:tcPr>
            <w:tcW w:w="1998" w:type="dxa"/>
            <w:tcBorders>
              <w:top w:val="dashed" w:sz="4" w:space="0" w:color="auto"/>
              <w:left w:val="single" w:sz="12" w:space="0" w:color="000000" w:themeColor="text1"/>
              <w:bottom w:val="single" w:sz="12" w:space="0" w:color="auto"/>
            </w:tcBorders>
          </w:tcPr>
          <w:p w14:paraId="01C37510" w14:textId="77777777" w:rsidR="00810FBB" w:rsidRPr="00CF2D28" w:rsidRDefault="00810FBB" w:rsidP="00170A32">
            <w:pPr>
              <w:spacing w:line="360" w:lineRule="auto"/>
              <w:rPr>
                <w:sz w:val="18"/>
                <w:szCs w:val="20"/>
              </w:rPr>
            </w:pPr>
          </w:p>
        </w:tc>
        <w:tc>
          <w:tcPr>
            <w:tcW w:w="2520" w:type="dxa"/>
            <w:vMerge/>
            <w:tcBorders>
              <w:bottom w:val="single" w:sz="12" w:space="0" w:color="auto"/>
            </w:tcBorders>
          </w:tcPr>
          <w:p w14:paraId="01C37511" w14:textId="77777777" w:rsidR="00810FBB" w:rsidRPr="00CF2D28" w:rsidRDefault="00810FBB" w:rsidP="00170A32">
            <w:pPr>
              <w:spacing w:line="360" w:lineRule="auto"/>
              <w:rPr>
                <w:sz w:val="18"/>
                <w:szCs w:val="20"/>
              </w:rPr>
            </w:pPr>
          </w:p>
        </w:tc>
        <w:tc>
          <w:tcPr>
            <w:tcW w:w="810" w:type="dxa"/>
            <w:vMerge/>
            <w:tcBorders>
              <w:bottom w:val="single" w:sz="12" w:space="0" w:color="auto"/>
            </w:tcBorders>
          </w:tcPr>
          <w:p w14:paraId="01C37512" w14:textId="77777777" w:rsidR="00810FBB" w:rsidRPr="00CF2D28" w:rsidRDefault="00810FBB" w:rsidP="00170A32">
            <w:pPr>
              <w:spacing w:before="120" w:line="360" w:lineRule="auto"/>
              <w:jc w:val="right"/>
              <w:rPr>
                <w:rFonts w:eastAsia="Times New Roman"/>
                <w:color w:val="000000"/>
                <w:sz w:val="18"/>
                <w:szCs w:val="20"/>
              </w:rPr>
            </w:pPr>
          </w:p>
        </w:tc>
        <w:tc>
          <w:tcPr>
            <w:tcW w:w="1080" w:type="dxa"/>
            <w:vMerge/>
            <w:tcBorders>
              <w:bottom w:val="single" w:sz="12" w:space="0" w:color="auto"/>
            </w:tcBorders>
            <w:vAlign w:val="center"/>
          </w:tcPr>
          <w:p w14:paraId="01C37513" w14:textId="77777777" w:rsidR="00810FBB" w:rsidRPr="002B4E56" w:rsidRDefault="00810FBB" w:rsidP="00170A32">
            <w:pPr>
              <w:spacing w:before="120" w:line="360" w:lineRule="auto"/>
              <w:jc w:val="right"/>
              <w:rPr>
                <w:rFonts w:eastAsia="Times New Roman"/>
                <w:color w:val="000000"/>
                <w:sz w:val="14"/>
                <w:szCs w:val="14"/>
              </w:rPr>
            </w:pPr>
          </w:p>
        </w:tc>
        <w:tc>
          <w:tcPr>
            <w:tcW w:w="1170" w:type="dxa"/>
            <w:vMerge/>
            <w:tcBorders>
              <w:bottom w:val="single" w:sz="12" w:space="0" w:color="auto"/>
            </w:tcBorders>
            <w:vAlign w:val="center"/>
          </w:tcPr>
          <w:p w14:paraId="01C37514" w14:textId="77777777" w:rsidR="00810FBB" w:rsidRPr="002B4E56" w:rsidRDefault="00810FBB" w:rsidP="00170A32">
            <w:pPr>
              <w:spacing w:line="360" w:lineRule="auto"/>
              <w:jc w:val="right"/>
              <w:rPr>
                <w:rFonts w:eastAsia="Times New Roman"/>
                <w:color w:val="000000"/>
                <w:sz w:val="14"/>
                <w:szCs w:val="14"/>
              </w:rPr>
            </w:pPr>
          </w:p>
        </w:tc>
        <w:tc>
          <w:tcPr>
            <w:tcW w:w="1080" w:type="dxa"/>
            <w:vMerge/>
            <w:tcBorders>
              <w:bottom w:val="single" w:sz="12" w:space="0" w:color="auto"/>
            </w:tcBorders>
            <w:vAlign w:val="center"/>
          </w:tcPr>
          <w:p w14:paraId="01C37515" w14:textId="77777777" w:rsidR="00810FBB" w:rsidRPr="002B4E56" w:rsidRDefault="00810FBB" w:rsidP="00170A32">
            <w:pPr>
              <w:spacing w:line="360" w:lineRule="auto"/>
              <w:jc w:val="right"/>
              <w:rPr>
                <w:rFonts w:eastAsia="Times New Roman"/>
                <w:color w:val="000000"/>
                <w:sz w:val="14"/>
                <w:szCs w:val="14"/>
              </w:rPr>
            </w:pPr>
          </w:p>
        </w:tc>
        <w:tc>
          <w:tcPr>
            <w:tcW w:w="3780" w:type="dxa"/>
            <w:vMerge/>
            <w:tcBorders>
              <w:bottom w:val="single" w:sz="12" w:space="0" w:color="auto"/>
            </w:tcBorders>
          </w:tcPr>
          <w:p w14:paraId="01C37516" w14:textId="77777777" w:rsidR="00810FBB" w:rsidRPr="00CF2D28" w:rsidRDefault="00810FBB" w:rsidP="00170A32">
            <w:pPr>
              <w:spacing w:line="360" w:lineRule="auto"/>
              <w:rPr>
                <w:sz w:val="18"/>
                <w:szCs w:val="20"/>
              </w:rPr>
            </w:pPr>
          </w:p>
        </w:tc>
        <w:tc>
          <w:tcPr>
            <w:tcW w:w="720" w:type="dxa"/>
            <w:vMerge/>
            <w:tcBorders>
              <w:bottom w:val="single" w:sz="12" w:space="0" w:color="auto"/>
              <w:right w:val="single" w:sz="12" w:space="0" w:color="000000" w:themeColor="text1"/>
            </w:tcBorders>
          </w:tcPr>
          <w:p w14:paraId="01C37517" w14:textId="77777777" w:rsidR="00810FBB" w:rsidRPr="00CF2D28" w:rsidRDefault="00810FBB" w:rsidP="00170A32">
            <w:pPr>
              <w:spacing w:line="360" w:lineRule="auto"/>
              <w:rPr>
                <w:sz w:val="18"/>
                <w:szCs w:val="20"/>
              </w:rPr>
            </w:pPr>
          </w:p>
        </w:tc>
      </w:tr>
      <w:tr w:rsidR="00810FBB" w:rsidRPr="002B4E56" w14:paraId="01C37536" w14:textId="77777777" w:rsidTr="00030736">
        <w:trPr>
          <w:trHeight w:val="473"/>
        </w:trPr>
        <w:tc>
          <w:tcPr>
            <w:tcW w:w="1998" w:type="dxa"/>
            <w:tcBorders>
              <w:top w:val="single" w:sz="12" w:space="0" w:color="auto"/>
              <w:left w:val="single" w:sz="12" w:space="0" w:color="000000" w:themeColor="text1"/>
              <w:bottom w:val="dashed" w:sz="4" w:space="0" w:color="auto"/>
            </w:tcBorders>
          </w:tcPr>
          <w:p w14:paraId="01C37519" w14:textId="77777777" w:rsidR="00810FBB" w:rsidRPr="00CF2D28" w:rsidRDefault="00810FBB" w:rsidP="00170A32">
            <w:pPr>
              <w:spacing w:line="360" w:lineRule="auto"/>
              <w:rPr>
                <w:sz w:val="18"/>
                <w:szCs w:val="20"/>
              </w:rPr>
            </w:pPr>
          </w:p>
        </w:tc>
        <w:tc>
          <w:tcPr>
            <w:tcW w:w="2520" w:type="dxa"/>
            <w:vMerge w:val="restart"/>
            <w:tcBorders>
              <w:top w:val="single" w:sz="12" w:space="0" w:color="auto"/>
            </w:tcBorders>
          </w:tcPr>
          <w:p w14:paraId="01C3751A" w14:textId="77777777" w:rsidR="00810FBB" w:rsidRPr="00CF2D28" w:rsidRDefault="00810FBB" w:rsidP="00170A32">
            <w:pPr>
              <w:spacing w:line="360" w:lineRule="auto"/>
              <w:rPr>
                <w:sz w:val="18"/>
                <w:szCs w:val="20"/>
              </w:rPr>
            </w:pPr>
          </w:p>
        </w:tc>
        <w:tc>
          <w:tcPr>
            <w:tcW w:w="810" w:type="dxa"/>
            <w:vMerge w:val="restart"/>
            <w:tcBorders>
              <w:top w:val="single" w:sz="12" w:space="0" w:color="auto"/>
            </w:tcBorders>
          </w:tcPr>
          <w:p w14:paraId="01C3751B" w14:textId="77777777" w:rsidR="00810FBB" w:rsidRPr="00CF2D28" w:rsidRDefault="00810FBB" w:rsidP="00170A32">
            <w:pPr>
              <w:ind w:left="-54"/>
              <w:jc w:val="right"/>
              <w:rPr>
                <w:rFonts w:eastAsia="Times New Roman"/>
                <w:color w:val="000000"/>
                <w:sz w:val="18"/>
                <w:szCs w:val="20"/>
              </w:rPr>
            </w:pPr>
          </w:p>
        </w:tc>
        <w:tc>
          <w:tcPr>
            <w:tcW w:w="108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810FBB" w:rsidRPr="002B4E56" w14:paraId="01C3751E" w14:textId="77777777" w:rsidTr="00170A32">
              <w:trPr>
                <w:trHeight w:hRule="exact" w:val="216"/>
                <w:tblCellSpacing w:w="14" w:type="dxa"/>
              </w:trPr>
              <w:tc>
                <w:tcPr>
                  <w:tcW w:w="601" w:type="dxa"/>
                  <w:vAlign w:val="center"/>
                </w:tcPr>
                <w:p w14:paraId="01C3751C" w14:textId="77777777" w:rsidR="00810FBB" w:rsidRPr="002B4E56" w:rsidRDefault="00810FBB" w:rsidP="00170A32">
                  <w:pPr>
                    <w:ind w:left="-54"/>
                    <w:jc w:val="right"/>
                    <w:rPr>
                      <w:rFonts w:eastAsia="Times New Roman"/>
                      <w:color w:val="000000"/>
                      <w:sz w:val="14"/>
                      <w:szCs w:val="14"/>
                    </w:rPr>
                  </w:pPr>
                  <w:r w:rsidRPr="002B4E56">
                    <w:rPr>
                      <w:rFonts w:eastAsia="Times New Roman"/>
                      <w:color w:val="000000"/>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1D" w14:textId="77777777" w:rsidR="00810FBB" w:rsidRPr="002B4E56" w:rsidRDefault="00810FBB" w:rsidP="00170A32">
                  <w:pPr>
                    <w:jc w:val="center"/>
                    <w:rPr>
                      <w:rFonts w:eastAsia="Times New Roman"/>
                      <w:color w:val="000000"/>
                      <w:sz w:val="14"/>
                      <w:szCs w:val="14"/>
                    </w:rPr>
                  </w:pPr>
                </w:p>
              </w:tc>
            </w:tr>
            <w:tr w:rsidR="00810FBB" w:rsidRPr="002B4E56" w14:paraId="01C37521" w14:textId="77777777" w:rsidTr="00170A32">
              <w:trPr>
                <w:trHeight w:hRule="exact" w:val="216"/>
                <w:tblCellSpacing w:w="14" w:type="dxa"/>
              </w:trPr>
              <w:tc>
                <w:tcPr>
                  <w:tcW w:w="601" w:type="dxa"/>
                  <w:vAlign w:val="center"/>
                </w:tcPr>
                <w:p w14:paraId="01C3751F" w14:textId="77777777" w:rsidR="00810FBB" w:rsidRPr="002B4E56" w:rsidRDefault="00810FBB" w:rsidP="00170A32">
                  <w:pPr>
                    <w:ind w:left="-54"/>
                    <w:jc w:val="right"/>
                    <w:rPr>
                      <w:rFonts w:eastAsia="Times New Roman"/>
                      <w:color w:val="000000"/>
                      <w:sz w:val="14"/>
                      <w:szCs w:val="14"/>
                    </w:rPr>
                  </w:pPr>
                  <w:r w:rsidRPr="002B4E56">
                    <w:rPr>
                      <w:rFonts w:eastAsia="Times New Roman"/>
                      <w:color w:val="000000"/>
                      <w:sz w:val="14"/>
                      <w:szCs w:val="14"/>
                    </w:rPr>
                    <w:t>No</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20" w14:textId="77777777" w:rsidR="00810FBB" w:rsidRPr="002B4E56" w:rsidRDefault="00810FBB" w:rsidP="00170A32">
                  <w:pPr>
                    <w:rPr>
                      <w:rFonts w:eastAsia="Times New Roman"/>
                      <w:color w:val="000000"/>
                      <w:sz w:val="14"/>
                      <w:szCs w:val="14"/>
                    </w:rPr>
                  </w:pPr>
                </w:p>
              </w:tc>
            </w:tr>
            <w:tr w:rsidR="00810FBB" w:rsidRPr="002B4E56" w14:paraId="01C37524" w14:textId="77777777" w:rsidTr="00170A32">
              <w:trPr>
                <w:trHeight w:hRule="exact" w:val="216"/>
                <w:tblCellSpacing w:w="14" w:type="dxa"/>
              </w:trPr>
              <w:tc>
                <w:tcPr>
                  <w:tcW w:w="601" w:type="dxa"/>
                  <w:vAlign w:val="center"/>
                </w:tcPr>
                <w:p w14:paraId="01C37522" w14:textId="3348E6BF" w:rsidR="00810FBB" w:rsidRPr="002B4E56" w:rsidRDefault="00BE6376" w:rsidP="00170A32">
                  <w:pPr>
                    <w:jc w:val="right"/>
                    <w:rPr>
                      <w:rFonts w:eastAsia="Times New Roman"/>
                      <w:color w:val="000000"/>
                      <w:sz w:val="14"/>
                      <w:szCs w:val="14"/>
                    </w:rPr>
                  </w:pPr>
                  <w:r w:rsidRPr="002B4E56">
                    <w:rPr>
                      <w:rFonts w:eastAsia="Times New Roman"/>
                      <w:color w:val="000000"/>
                      <w:sz w:val="14"/>
                      <w:szCs w:val="14"/>
                    </w:rPr>
                    <w:t>Yes, by</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23" w14:textId="77777777" w:rsidR="00810FBB" w:rsidRPr="002B4E56" w:rsidRDefault="00810FBB" w:rsidP="00170A32">
                  <w:pPr>
                    <w:jc w:val="center"/>
                    <w:rPr>
                      <w:rFonts w:eastAsia="Times New Roman"/>
                      <w:color w:val="000000"/>
                      <w:sz w:val="14"/>
                      <w:szCs w:val="14"/>
                    </w:rPr>
                  </w:pPr>
                </w:p>
              </w:tc>
            </w:tr>
          </w:tbl>
          <w:p w14:paraId="01C37525" w14:textId="0594284D" w:rsidR="00810FBB" w:rsidRPr="002B4E56" w:rsidRDefault="00BE6376" w:rsidP="00170A32">
            <w:pPr>
              <w:spacing w:line="360" w:lineRule="auto"/>
              <w:jc w:val="center"/>
              <w:rPr>
                <w:rFonts w:eastAsia="Times New Roman"/>
                <w:color w:val="000000"/>
                <w:sz w:val="14"/>
                <w:szCs w:val="14"/>
              </w:rPr>
            </w:pPr>
            <w:r w:rsidRPr="002B4E56">
              <w:rPr>
                <w:rFonts w:eastAsia="Times New Roman"/>
                <w:color w:val="000000"/>
                <w:sz w:val="14"/>
                <w:szCs w:val="14"/>
              </w:rPr>
              <w:t>Exemption</w:t>
            </w:r>
          </w:p>
        </w:tc>
        <w:tc>
          <w:tcPr>
            <w:tcW w:w="117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810FBB" w:rsidRPr="002B4E56" w14:paraId="01C37528" w14:textId="77777777" w:rsidTr="00170A32">
              <w:trPr>
                <w:trHeight w:hRule="exact" w:val="216"/>
                <w:tblCellSpacing w:w="14" w:type="dxa"/>
              </w:trPr>
              <w:tc>
                <w:tcPr>
                  <w:tcW w:w="601" w:type="dxa"/>
                  <w:vAlign w:val="center"/>
                </w:tcPr>
                <w:p w14:paraId="01C37526" w14:textId="77777777" w:rsidR="00810FBB" w:rsidRPr="002B4E56" w:rsidRDefault="00810FBB" w:rsidP="00170A32">
                  <w:pPr>
                    <w:ind w:left="-54"/>
                    <w:jc w:val="right"/>
                    <w:rPr>
                      <w:rFonts w:eastAsia="Times New Roman"/>
                      <w:color w:val="000000"/>
                      <w:sz w:val="14"/>
                      <w:szCs w:val="14"/>
                    </w:rPr>
                  </w:pPr>
                  <w:r w:rsidRPr="002B4E56">
                    <w:rPr>
                      <w:rFonts w:eastAsia="Times New Roman"/>
                      <w:color w:val="000000"/>
                      <w:sz w:val="14"/>
                      <w:szCs w:val="14"/>
                    </w:rPr>
                    <w:t>None</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27" w14:textId="77777777" w:rsidR="00810FBB" w:rsidRPr="002B4E56" w:rsidRDefault="00810FBB" w:rsidP="00170A32">
                  <w:pPr>
                    <w:jc w:val="center"/>
                    <w:rPr>
                      <w:rFonts w:eastAsia="Times New Roman"/>
                      <w:color w:val="000000"/>
                      <w:sz w:val="14"/>
                      <w:szCs w:val="14"/>
                    </w:rPr>
                  </w:pPr>
                </w:p>
              </w:tc>
            </w:tr>
            <w:tr w:rsidR="00810FBB" w:rsidRPr="002B4E56" w14:paraId="01C3752B" w14:textId="77777777" w:rsidTr="00170A32">
              <w:trPr>
                <w:trHeight w:hRule="exact" w:val="216"/>
                <w:tblCellSpacing w:w="14" w:type="dxa"/>
              </w:trPr>
              <w:tc>
                <w:tcPr>
                  <w:tcW w:w="601" w:type="dxa"/>
                  <w:vAlign w:val="center"/>
                </w:tcPr>
                <w:p w14:paraId="01C37529" w14:textId="77777777" w:rsidR="00810FBB" w:rsidRPr="002B4E56" w:rsidRDefault="00810FBB" w:rsidP="00170A32">
                  <w:pPr>
                    <w:ind w:left="-54"/>
                    <w:jc w:val="right"/>
                    <w:rPr>
                      <w:rFonts w:eastAsia="Times New Roman"/>
                      <w:color w:val="000000"/>
                      <w:sz w:val="14"/>
                      <w:szCs w:val="14"/>
                    </w:rPr>
                  </w:pPr>
                  <w:r w:rsidRPr="002B4E56">
                    <w:rPr>
                      <w:rFonts w:eastAsia="Times New Roman"/>
                      <w:color w:val="000000"/>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2A" w14:textId="77777777" w:rsidR="00810FBB" w:rsidRPr="002B4E56" w:rsidRDefault="00810FBB" w:rsidP="00170A32">
                  <w:pPr>
                    <w:rPr>
                      <w:rFonts w:eastAsia="Times New Roman"/>
                      <w:color w:val="000000"/>
                      <w:sz w:val="14"/>
                      <w:szCs w:val="14"/>
                    </w:rPr>
                  </w:pPr>
                </w:p>
              </w:tc>
            </w:tr>
          </w:tbl>
          <w:p w14:paraId="01C3752C" w14:textId="77777777" w:rsidR="00810FBB" w:rsidRPr="002B4E56" w:rsidRDefault="00810FBB" w:rsidP="00170A32">
            <w:pPr>
              <w:spacing w:line="360" w:lineRule="auto"/>
              <w:jc w:val="center"/>
              <w:rPr>
                <w:rFonts w:eastAsia="Times New Roman"/>
                <w:color w:val="000000"/>
                <w:sz w:val="14"/>
                <w:szCs w:val="14"/>
              </w:rPr>
            </w:pPr>
          </w:p>
        </w:tc>
        <w:tc>
          <w:tcPr>
            <w:tcW w:w="108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810FBB" w:rsidRPr="002B4E56" w14:paraId="01C3752F" w14:textId="77777777" w:rsidTr="00170A32">
              <w:trPr>
                <w:trHeight w:hRule="exact" w:val="216"/>
                <w:tblCellSpacing w:w="14" w:type="dxa"/>
              </w:trPr>
              <w:tc>
                <w:tcPr>
                  <w:tcW w:w="601" w:type="dxa"/>
                  <w:vAlign w:val="center"/>
                </w:tcPr>
                <w:p w14:paraId="01C3752D" w14:textId="77777777" w:rsidR="00810FBB" w:rsidRPr="002B4E56" w:rsidRDefault="00810FBB" w:rsidP="00170A32">
                  <w:pPr>
                    <w:ind w:left="-54"/>
                    <w:jc w:val="right"/>
                    <w:rPr>
                      <w:rFonts w:eastAsia="Times New Roman"/>
                      <w:color w:val="000000"/>
                      <w:sz w:val="14"/>
                      <w:szCs w:val="14"/>
                    </w:rPr>
                  </w:pPr>
                  <w:r w:rsidRPr="002B4E56">
                    <w:rPr>
                      <w:rFonts w:eastAsia="Times New Roman"/>
                      <w:color w:val="000000"/>
                      <w:sz w:val="14"/>
                      <w:szCs w:val="14"/>
                    </w:rPr>
                    <w:t>None</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2E" w14:textId="77777777" w:rsidR="00810FBB" w:rsidRPr="002B4E56" w:rsidRDefault="00810FBB" w:rsidP="00170A32">
                  <w:pPr>
                    <w:jc w:val="center"/>
                    <w:rPr>
                      <w:rFonts w:eastAsia="Times New Roman"/>
                      <w:color w:val="000000"/>
                      <w:sz w:val="14"/>
                      <w:szCs w:val="14"/>
                    </w:rPr>
                  </w:pPr>
                </w:p>
              </w:tc>
            </w:tr>
            <w:tr w:rsidR="00810FBB" w:rsidRPr="002B4E56" w14:paraId="01C37532" w14:textId="77777777" w:rsidTr="00170A32">
              <w:trPr>
                <w:trHeight w:hRule="exact" w:val="216"/>
                <w:tblCellSpacing w:w="14" w:type="dxa"/>
              </w:trPr>
              <w:tc>
                <w:tcPr>
                  <w:tcW w:w="601" w:type="dxa"/>
                  <w:vAlign w:val="center"/>
                </w:tcPr>
                <w:p w14:paraId="01C37530" w14:textId="77777777" w:rsidR="00810FBB" w:rsidRPr="002B4E56" w:rsidRDefault="00810FBB" w:rsidP="00170A32">
                  <w:pPr>
                    <w:ind w:left="-54"/>
                    <w:jc w:val="right"/>
                    <w:rPr>
                      <w:rFonts w:eastAsia="Times New Roman"/>
                      <w:color w:val="000000"/>
                      <w:sz w:val="14"/>
                      <w:szCs w:val="14"/>
                    </w:rPr>
                  </w:pPr>
                  <w:r w:rsidRPr="002B4E56">
                    <w:rPr>
                      <w:rFonts w:eastAsia="Times New Roman"/>
                      <w:color w:val="000000"/>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31" w14:textId="77777777" w:rsidR="00810FBB" w:rsidRPr="002B4E56" w:rsidRDefault="00810FBB" w:rsidP="00170A32">
                  <w:pPr>
                    <w:rPr>
                      <w:rFonts w:eastAsia="Times New Roman"/>
                      <w:color w:val="000000"/>
                      <w:sz w:val="14"/>
                      <w:szCs w:val="14"/>
                    </w:rPr>
                  </w:pPr>
                </w:p>
              </w:tc>
            </w:tr>
          </w:tbl>
          <w:p w14:paraId="01C37533" w14:textId="77777777" w:rsidR="00810FBB" w:rsidRPr="002B4E56" w:rsidRDefault="00810FBB" w:rsidP="00170A32">
            <w:pPr>
              <w:spacing w:line="360" w:lineRule="auto"/>
              <w:jc w:val="center"/>
              <w:rPr>
                <w:rFonts w:eastAsia="Times New Roman"/>
                <w:color w:val="000000"/>
                <w:sz w:val="14"/>
                <w:szCs w:val="14"/>
              </w:rPr>
            </w:pPr>
          </w:p>
        </w:tc>
        <w:tc>
          <w:tcPr>
            <w:tcW w:w="3780" w:type="dxa"/>
            <w:vMerge w:val="restart"/>
            <w:tcBorders>
              <w:top w:val="single" w:sz="12" w:space="0" w:color="auto"/>
            </w:tcBorders>
          </w:tcPr>
          <w:p w14:paraId="01C37534" w14:textId="77777777" w:rsidR="00810FBB" w:rsidRPr="00CF2D28" w:rsidRDefault="00810FBB" w:rsidP="00170A32">
            <w:pPr>
              <w:spacing w:line="360" w:lineRule="auto"/>
              <w:rPr>
                <w:sz w:val="18"/>
                <w:szCs w:val="20"/>
              </w:rPr>
            </w:pPr>
          </w:p>
        </w:tc>
        <w:tc>
          <w:tcPr>
            <w:tcW w:w="720" w:type="dxa"/>
            <w:vMerge w:val="restart"/>
            <w:tcBorders>
              <w:top w:val="single" w:sz="12" w:space="0" w:color="auto"/>
              <w:right w:val="single" w:sz="12" w:space="0" w:color="000000" w:themeColor="text1"/>
            </w:tcBorders>
          </w:tcPr>
          <w:p w14:paraId="01C37535" w14:textId="77777777" w:rsidR="00810FBB" w:rsidRPr="00CF2D28" w:rsidRDefault="00810FBB" w:rsidP="00170A32">
            <w:pPr>
              <w:spacing w:line="360" w:lineRule="auto"/>
              <w:rPr>
                <w:sz w:val="18"/>
                <w:szCs w:val="20"/>
              </w:rPr>
            </w:pPr>
          </w:p>
        </w:tc>
      </w:tr>
      <w:tr w:rsidR="00810FBB" w:rsidRPr="002B4E56" w14:paraId="01C3753F" w14:textId="77777777" w:rsidTr="00030736">
        <w:trPr>
          <w:trHeight w:val="472"/>
        </w:trPr>
        <w:tc>
          <w:tcPr>
            <w:tcW w:w="1998" w:type="dxa"/>
            <w:tcBorders>
              <w:top w:val="dashed" w:sz="4" w:space="0" w:color="auto"/>
              <w:left w:val="single" w:sz="12" w:space="0" w:color="000000" w:themeColor="text1"/>
              <w:bottom w:val="single" w:sz="12" w:space="0" w:color="auto"/>
            </w:tcBorders>
          </w:tcPr>
          <w:p w14:paraId="01C37537" w14:textId="77777777" w:rsidR="00810FBB" w:rsidRPr="00CF2D28" w:rsidRDefault="00810FBB" w:rsidP="00170A32">
            <w:pPr>
              <w:spacing w:line="360" w:lineRule="auto"/>
              <w:rPr>
                <w:sz w:val="18"/>
                <w:szCs w:val="20"/>
              </w:rPr>
            </w:pPr>
          </w:p>
        </w:tc>
        <w:tc>
          <w:tcPr>
            <w:tcW w:w="2520" w:type="dxa"/>
            <w:vMerge/>
            <w:tcBorders>
              <w:bottom w:val="single" w:sz="12" w:space="0" w:color="auto"/>
            </w:tcBorders>
          </w:tcPr>
          <w:p w14:paraId="01C37538" w14:textId="77777777" w:rsidR="00810FBB" w:rsidRPr="00CF2D28" w:rsidRDefault="00810FBB" w:rsidP="00170A32">
            <w:pPr>
              <w:spacing w:line="360" w:lineRule="auto"/>
              <w:rPr>
                <w:sz w:val="18"/>
                <w:szCs w:val="20"/>
              </w:rPr>
            </w:pPr>
          </w:p>
        </w:tc>
        <w:tc>
          <w:tcPr>
            <w:tcW w:w="810" w:type="dxa"/>
            <w:vMerge/>
            <w:tcBorders>
              <w:bottom w:val="single" w:sz="12" w:space="0" w:color="auto"/>
            </w:tcBorders>
          </w:tcPr>
          <w:p w14:paraId="01C37539" w14:textId="77777777" w:rsidR="00810FBB" w:rsidRPr="00CF2D28" w:rsidRDefault="00810FBB" w:rsidP="00170A32">
            <w:pPr>
              <w:spacing w:before="120" w:line="360" w:lineRule="auto"/>
              <w:jc w:val="right"/>
              <w:rPr>
                <w:rFonts w:eastAsia="Times New Roman"/>
                <w:color w:val="000000"/>
                <w:sz w:val="18"/>
                <w:szCs w:val="20"/>
              </w:rPr>
            </w:pPr>
          </w:p>
        </w:tc>
        <w:tc>
          <w:tcPr>
            <w:tcW w:w="1080" w:type="dxa"/>
            <w:vMerge/>
            <w:tcBorders>
              <w:bottom w:val="single" w:sz="12" w:space="0" w:color="auto"/>
            </w:tcBorders>
            <w:vAlign w:val="center"/>
          </w:tcPr>
          <w:p w14:paraId="01C3753A" w14:textId="77777777" w:rsidR="00810FBB" w:rsidRPr="002B4E56" w:rsidRDefault="00810FBB" w:rsidP="00170A32">
            <w:pPr>
              <w:spacing w:before="120" w:line="360" w:lineRule="auto"/>
              <w:jc w:val="right"/>
              <w:rPr>
                <w:rFonts w:eastAsia="Times New Roman"/>
                <w:color w:val="000000"/>
                <w:sz w:val="14"/>
                <w:szCs w:val="14"/>
              </w:rPr>
            </w:pPr>
          </w:p>
        </w:tc>
        <w:tc>
          <w:tcPr>
            <w:tcW w:w="1170" w:type="dxa"/>
            <w:vMerge/>
            <w:tcBorders>
              <w:bottom w:val="single" w:sz="12" w:space="0" w:color="auto"/>
            </w:tcBorders>
            <w:vAlign w:val="center"/>
          </w:tcPr>
          <w:p w14:paraId="01C3753B" w14:textId="77777777" w:rsidR="00810FBB" w:rsidRPr="002B4E56" w:rsidRDefault="00810FBB" w:rsidP="00170A32">
            <w:pPr>
              <w:spacing w:line="360" w:lineRule="auto"/>
              <w:jc w:val="right"/>
              <w:rPr>
                <w:rFonts w:eastAsia="Times New Roman"/>
                <w:color w:val="000000"/>
                <w:sz w:val="14"/>
                <w:szCs w:val="14"/>
              </w:rPr>
            </w:pPr>
          </w:p>
        </w:tc>
        <w:tc>
          <w:tcPr>
            <w:tcW w:w="1080" w:type="dxa"/>
            <w:vMerge/>
            <w:tcBorders>
              <w:bottom w:val="single" w:sz="12" w:space="0" w:color="auto"/>
            </w:tcBorders>
            <w:vAlign w:val="center"/>
          </w:tcPr>
          <w:p w14:paraId="01C3753C" w14:textId="77777777" w:rsidR="00810FBB" w:rsidRPr="002B4E56" w:rsidRDefault="00810FBB" w:rsidP="00170A32">
            <w:pPr>
              <w:spacing w:line="360" w:lineRule="auto"/>
              <w:jc w:val="right"/>
              <w:rPr>
                <w:rFonts w:eastAsia="Times New Roman"/>
                <w:color w:val="000000"/>
                <w:sz w:val="14"/>
                <w:szCs w:val="14"/>
              </w:rPr>
            </w:pPr>
          </w:p>
        </w:tc>
        <w:tc>
          <w:tcPr>
            <w:tcW w:w="3780" w:type="dxa"/>
            <w:vMerge/>
            <w:tcBorders>
              <w:bottom w:val="single" w:sz="12" w:space="0" w:color="auto"/>
            </w:tcBorders>
          </w:tcPr>
          <w:p w14:paraId="01C3753D" w14:textId="77777777" w:rsidR="00810FBB" w:rsidRPr="00CF2D28" w:rsidRDefault="00810FBB" w:rsidP="00170A32">
            <w:pPr>
              <w:spacing w:line="360" w:lineRule="auto"/>
              <w:rPr>
                <w:sz w:val="18"/>
                <w:szCs w:val="20"/>
              </w:rPr>
            </w:pPr>
          </w:p>
        </w:tc>
        <w:tc>
          <w:tcPr>
            <w:tcW w:w="720" w:type="dxa"/>
            <w:vMerge/>
            <w:tcBorders>
              <w:bottom w:val="single" w:sz="12" w:space="0" w:color="auto"/>
              <w:right w:val="single" w:sz="12" w:space="0" w:color="000000" w:themeColor="text1"/>
            </w:tcBorders>
          </w:tcPr>
          <w:p w14:paraId="01C3753E" w14:textId="77777777" w:rsidR="00810FBB" w:rsidRPr="00CF2D28" w:rsidRDefault="00810FBB" w:rsidP="00170A32">
            <w:pPr>
              <w:spacing w:line="360" w:lineRule="auto"/>
              <w:rPr>
                <w:sz w:val="18"/>
                <w:szCs w:val="20"/>
              </w:rPr>
            </w:pPr>
          </w:p>
        </w:tc>
      </w:tr>
      <w:tr w:rsidR="00810FBB" w:rsidRPr="002B4E56" w14:paraId="01C3755D" w14:textId="77777777" w:rsidTr="00030736">
        <w:trPr>
          <w:trHeight w:val="473"/>
        </w:trPr>
        <w:tc>
          <w:tcPr>
            <w:tcW w:w="1998" w:type="dxa"/>
            <w:tcBorders>
              <w:top w:val="single" w:sz="12" w:space="0" w:color="auto"/>
              <w:left w:val="single" w:sz="12" w:space="0" w:color="000000" w:themeColor="text1"/>
              <w:bottom w:val="dashed" w:sz="4" w:space="0" w:color="auto"/>
            </w:tcBorders>
          </w:tcPr>
          <w:p w14:paraId="01C37540" w14:textId="77777777" w:rsidR="00810FBB" w:rsidRPr="00CF2D28" w:rsidRDefault="00810FBB" w:rsidP="00170A32">
            <w:pPr>
              <w:spacing w:line="360" w:lineRule="auto"/>
              <w:rPr>
                <w:sz w:val="18"/>
                <w:szCs w:val="20"/>
              </w:rPr>
            </w:pPr>
          </w:p>
        </w:tc>
        <w:tc>
          <w:tcPr>
            <w:tcW w:w="2520" w:type="dxa"/>
            <w:vMerge w:val="restart"/>
            <w:tcBorders>
              <w:top w:val="single" w:sz="12" w:space="0" w:color="auto"/>
            </w:tcBorders>
          </w:tcPr>
          <w:p w14:paraId="01C37541" w14:textId="77777777" w:rsidR="00810FBB" w:rsidRPr="00CF2D28" w:rsidRDefault="00810FBB" w:rsidP="00170A32">
            <w:pPr>
              <w:spacing w:line="360" w:lineRule="auto"/>
              <w:rPr>
                <w:sz w:val="18"/>
                <w:szCs w:val="20"/>
              </w:rPr>
            </w:pPr>
          </w:p>
        </w:tc>
        <w:tc>
          <w:tcPr>
            <w:tcW w:w="810" w:type="dxa"/>
            <w:vMerge w:val="restart"/>
            <w:tcBorders>
              <w:top w:val="single" w:sz="12" w:space="0" w:color="auto"/>
            </w:tcBorders>
          </w:tcPr>
          <w:p w14:paraId="01C37542" w14:textId="77777777" w:rsidR="00810FBB" w:rsidRPr="00CF2D28" w:rsidRDefault="00810FBB" w:rsidP="00170A32">
            <w:pPr>
              <w:ind w:left="-54"/>
              <w:jc w:val="right"/>
              <w:rPr>
                <w:rFonts w:eastAsia="Times New Roman"/>
                <w:color w:val="000000"/>
                <w:sz w:val="18"/>
                <w:szCs w:val="20"/>
              </w:rPr>
            </w:pPr>
          </w:p>
        </w:tc>
        <w:tc>
          <w:tcPr>
            <w:tcW w:w="108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810FBB" w:rsidRPr="002B4E56" w14:paraId="01C37545" w14:textId="77777777" w:rsidTr="00170A32">
              <w:trPr>
                <w:trHeight w:hRule="exact" w:val="216"/>
                <w:tblCellSpacing w:w="14" w:type="dxa"/>
              </w:trPr>
              <w:tc>
                <w:tcPr>
                  <w:tcW w:w="601" w:type="dxa"/>
                  <w:vAlign w:val="center"/>
                </w:tcPr>
                <w:p w14:paraId="01C37543" w14:textId="77777777" w:rsidR="00810FBB" w:rsidRPr="002B4E56" w:rsidRDefault="00810FBB" w:rsidP="00170A32">
                  <w:pPr>
                    <w:ind w:left="-54"/>
                    <w:jc w:val="right"/>
                    <w:rPr>
                      <w:rFonts w:eastAsia="Times New Roman"/>
                      <w:color w:val="000000"/>
                      <w:sz w:val="14"/>
                      <w:szCs w:val="14"/>
                    </w:rPr>
                  </w:pPr>
                  <w:r w:rsidRPr="002B4E56">
                    <w:rPr>
                      <w:rFonts w:eastAsia="Times New Roman"/>
                      <w:color w:val="000000"/>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44" w14:textId="77777777" w:rsidR="00810FBB" w:rsidRPr="002B4E56" w:rsidRDefault="00810FBB" w:rsidP="00170A32">
                  <w:pPr>
                    <w:jc w:val="center"/>
                    <w:rPr>
                      <w:rFonts w:eastAsia="Times New Roman"/>
                      <w:color w:val="000000"/>
                      <w:sz w:val="14"/>
                      <w:szCs w:val="14"/>
                    </w:rPr>
                  </w:pPr>
                </w:p>
              </w:tc>
            </w:tr>
            <w:tr w:rsidR="00810FBB" w:rsidRPr="002B4E56" w14:paraId="01C37548" w14:textId="77777777" w:rsidTr="00170A32">
              <w:trPr>
                <w:trHeight w:hRule="exact" w:val="216"/>
                <w:tblCellSpacing w:w="14" w:type="dxa"/>
              </w:trPr>
              <w:tc>
                <w:tcPr>
                  <w:tcW w:w="601" w:type="dxa"/>
                  <w:vAlign w:val="center"/>
                </w:tcPr>
                <w:p w14:paraId="01C37546" w14:textId="77777777" w:rsidR="00810FBB" w:rsidRPr="002B4E56" w:rsidRDefault="00810FBB" w:rsidP="00170A32">
                  <w:pPr>
                    <w:ind w:left="-54"/>
                    <w:jc w:val="right"/>
                    <w:rPr>
                      <w:rFonts w:eastAsia="Times New Roman"/>
                      <w:color w:val="000000"/>
                      <w:sz w:val="14"/>
                      <w:szCs w:val="14"/>
                    </w:rPr>
                  </w:pPr>
                  <w:r w:rsidRPr="002B4E56">
                    <w:rPr>
                      <w:rFonts w:eastAsia="Times New Roman"/>
                      <w:color w:val="000000"/>
                      <w:sz w:val="14"/>
                      <w:szCs w:val="14"/>
                    </w:rPr>
                    <w:t>No</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47" w14:textId="77777777" w:rsidR="00810FBB" w:rsidRPr="002B4E56" w:rsidRDefault="00810FBB" w:rsidP="00170A32">
                  <w:pPr>
                    <w:rPr>
                      <w:rFonts w:eastAsia="Times New Roman"/>
                      <w:color w:val="000000"/>
                      <w:sz w:val="14"/>
                      <w:szCs w:val="14"/>
                    </w:rPr>
                  </w:pPr>
                </w:p>
              </w:tc>
            </w:tr>
            <w:tr w:rsidR="00810FBB" w:rsidRPr="002B4E56" w14:paraId="01C3754B" w14:textId="77777777" w:rsidTr="00170A32">
              <w:trPr>
                <w:trHeight w:hRule="exact" w:val="216"/>
                <w:tblCellSpacing w:w="14" w:type="dxa"/>
              </w:trPr>
              <w:tc>
                <w:tcPr>
                  <w:tcW w:w="601" w:type="dxa"/>
                  <w:vAlign w:val="center"/>
                </w:tcPr>
                <w:p w14:paraId="01C37549" w14:textId="6598308B" w:rsidR="00810FBB" w:rsidRPr="002B4E56" w:rsidRDefault="00BE6376" w:rsidP="00170A32">
                  <w:pPr>
                    <w:jc w:val="right"/>
                    <w:rPr>
                      <w:rFonts w:eastAsia="Times New Roman"/>
                      <w:color w:val="000000"/>
                      <w:sz w:val="14"/>
                      <w:szCs w:val="14"/>
                    </w:rPr>
                  </w:pPr>
                  <w:r w:rsidRPr="002B4E56">
                    <w:rPr>
                      <w:rFonts w:eastAsia="Times New Roman"/>
                      <w:color w:val="000000"/>
                      <w:sz w:val="14"/>
                      <w:szCs w:val="14"/>
                    </w:rPr>
                    <w:t>Yes, by</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4A" w14:textId="77777777" w:rsidR="00810FBB" w:rsidRPr="002B4E56" w:rsidRDefault="00810FBB" w:rsidP="00170A32">
                  <w:pPr>
                    <w:jc w:val="center"/>
                    <w:rPr>
                      <w:rFonts w:eastAsia="Times New Roman"/>
                      <w:color w:val="000000"/>
                      <w:sz w:val="14"/>
                      <w:szCs w:val="14"/>
                    </w:rPr>
                  </w:pPr>
                </w:p>
              </w:tc>
            </w:tr>
          </w:tbl>
          <w:p w14:paraId="01C3754C" w14:textId="1FDABD0F" w:rsidR="00810FBB" w:rsidRPr="002B4E56" w:rsidRDefault="00BE6376" w:rsidP="00170A32">
            <w:pPr>
              <w:spacing w:line="360" w:lineRule="auto"/>
              <w:jc w:val="center"/>
              <w:rPr>
                <w:rFonts w:eastAsia="Times New Roman"/>
                <w:color w:val="000000"/>
                <w:sz w:val="14"/>
                <w:szCs w:val="14"/>
              </w:rPr>
            </w:pPr>
            <w:r w:rsidRPr="002B4E56">
              <w:rPr>
                <w:rFonts w:eastAsia="Times New Roman"/>
                <w:color w:val="000000"/>
                <w:sz w:val="14"/>
                <w:szCs w:val="14"/>
              </w:rPr>
              <w:t>Exemption</w:t>
            </w:r>
          </w:p>
        </w:tc>
        <w:tc>
          <w:tcPr>
            <w:tcW w:w="117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810FBB" w:rsidRPr="002B4E56" w14:paraId="01C3754F" w14:textId="77777777" w:rsidTr="00170A32">
              <w:trPr>
                <w:trHeight w:hRule="exact" w:val="216"/>
                <w:tblCellSpacing w:w="14" w:type="dxa"/>
              </w:trPr>
              <w:tc>
                <w:tcPr>
                  <w:tcW w:w="601" w:type="dxa"/>
                  <w:vAlign w:val="center"/>
                </w:tcPr>
                <w:p w14:paraId="01C3754D" w14:textId="77777777" w:rsidR="00810FBB" w:rsidRPr="002B4E56" w:rsidRDefault="00810FBB" w:rsidP="00170A32">
                  <w:pPr>
                    <w:ind w:left="-54"/>
                    <w:jc w:val="right"/>
                    <w:rPr>
                      <w:rFonts w:eastAsia="Times New Roman"/>
                      <w:color w:val="000000"/>
                      <w:sz w:val="14"/>
                      <w:szCs w:val="14"/>
                    </w:rPr>
                  </w:pPr>
                  <w:r w:rsidRPr="002B4E56">
                    <w:rPr>
                      <w:rFonts w:eastAsia="Times New Roman"/>
                      <w:color w:val="000000"/>
                      <w:sz w:val="14"/>
                      <w:szCs w:val="14"/>
                    </w:rPr>
                    <w:t>None</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4E" w14:textId="77777777" w:rsidR="00810FBB" w:rsidRPr="002B4E56" w:rsidRDefault="00810FBB" w:rsidP="00170A32">
                  <w:pPr>
                    <w:jc w:val="center"/>
                    <w:rPr>
                      <w:rFonts w:eastAsia="Times New Roman"/>
                      <w:color w:val="000000"/>
                      <w:sz w:val="14"/>
                      <w:szCs w:val="14"/>
                    </w:rPr>
                  </w:pPr>
                </w:p>
              </w:tc>
            </w:tr>
            <w:tr w:rsidR="00810FBB" w:rsidRPr="002B4E56" w14:paraId="01C37552" w14:textId="77777777" w:rsidTr="00170A32">
              <w:trPr>
                <w:trHeight w:hRule="exact" w:val="216"/>
                <w:tblCellSpacing w:w="14" w:type="dxa"/>
              </w:trPr>
              <w:tc>
                <w:tcPr>
                  <w:tcW w:w="601" w:type="dxa"/>
                  <w:vAlign w:val="center"/>
                </w:tcPr>
                <w:p w14:paraId="01C37550" w14:textId="77777777" w:rsidR="00810FBB" w:rsidRPr="002B4E56" w:rsidRDefault="00810FBB" w:rsidP="00170A32">
                  <w:pPr>
                    <w:ind w:left="-54"/>
                    <w:jc w:val="right"/>
                    <w:rPr>
                      <w:rFonts w:eastAsia="Times New Roman"/>
                      <w:color w:val="000000"/>
                      <w:sz w:val="14"/>
                      <w:szCs w:val="14"/>
                    </w:rPr>
                  </w:pPr>
                  <w:r w:rsidRPr="002B4E56">
                    <w:rPr>
                      <w:rFonts w:eastAsia="Times New Roman"/>
                      <w:color w:val="000000"/>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51" w14:textId="77777777" w:rsidR="00810FBB" w:rsidRPr="002B4E56" w:rsidRDefault="00810FBB" w:rsidP="00170A32">
                  <w:pPr>
                    <w:rPr>
                      <w:rFonts w:eastAsia="Times New Roman"/>
                      <w:color w:val="000000"/>
                      <w:sz w:val="14"/>
                      <w:szCs w:val="14"/>
                    </w:rPr>
                  </w:pPr>
                </w:p>
              </w:tc>
            </w:tr>
          </w:tbl>
          <w:p w14:paraId="01C37553" w14:textId="77777777" w:rsidR="00810FBB" w:rsidRPr="002B4E56" w:rsidRDefault="00810FBB" w:rsidP="00170A32">
            <w:pPr>
              <w:spacing w:line="360" w:lineRule="auto"/>
              <w:jc w:val="center"/>
              <w:rPr>
                <w:rFonts w:eastAsia="Times New Roman"/>
                <w:color w:val="000000"/>
                <w:sz w:val="14"/>
                <w:szCs w:val="14"/>
              </w:rPr>
            </w:pPr>
          </w:p>
        </w:tc>
        <w:tc>
          <w:tcPr>
            <w:tcW w:w="108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810FBB" w:rsidRPr="002B4E56" w14:paraId="01C37556" w14:textId="77777777" w:rsidTr="00170A32">
              <w:trPr>
                <w:trHeight w:hRule="exact" w:val="216"/>
                <w:tblCellSpacing w:w="14" w:type="dxa"/>
              </w:trPr>
              <w:tc>
                <w:tcPr>
                  <w:tcW w:w="601" w:type="dxa"/>
                  <w:vAlign w:val="center"/>
                </w:tcPr>
                <w:p w14:paraId="01C37554" w14:textId="77777777" w:rsidR="00810FBB" w:rsidRPr="002B4E56" w:rsidRDefault="00810FBB" w:rsidP="00170A32">
                  <w:pPr>
                    <w:ind w:left="-54"/>
                    <w:jc w:val="right"/>
                    <w:rPr>
                      <w:rFonts w:eastAsia="Times New Roman"/>
                      <w:color w:val="000000"/>
                      <w:sz w:val="14"/>
                      <w:szCs w:val="14"/>
                    </w:rPr>
                  </w:pPr>
                  <w:r w:rsidRPr="002B4E56">
                    <w:rPr>
                      <w:rFonts w:eastAsia="Times New Roman"/>
                      <w:color w:val="000000"/>
                      <w:sz w:val="14"/>
                      <w:szCs w:val="14"/>
                    </w:rPr>
                    <w:t>None</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55" w14:textId="77777777" w:rsidR="00810FBB" w:rsidRPr="002B4E56" w:rsidRDefault="00810FBB" w:rsidP="00170A32">
                  <w:pPr>
                    <w:jc w:val="center"/>
                    <w:rPr>
                      <w:rFonts w:eastAsia="Times New Roman"/>
                      <w:color w:val="000000"/>
                      <w:sz w:val="14"/>
                      <w:szCs w:val="14"/>
                    </w:rPr>
                  </w:pPr>
                </w:p>
              </w:tc>
            </w:tr>
            <w:tr w:rsidR="00810FBB" w:rsidRPr="002B4E56" w14:paraId="01C37559" w14:textId="77777777" w:rsidTr="00170A32">
              <w:trPr>
                <w:trHeight w:hRule="exact" w:val="216"/>
                <w:tblCellSpacing w:w="14" w:type="dxa"/>
              </w:trPr>
              <w:tc>
                <w:tcPr>
                  <w:tcW w:w="601" w:type="dxa"/>
                  <w:vAlign w:val="center"/>
                </w:tcPr>
                <w:p w14:paraId="01C37557" w14:textId="77777777" w:rsidR="00810FBB" w:rsidRPr="002B4E56" w:rsidRDefault="00810FBB" w:rsidP="00170A32">
                  <w:pPr>
                    <w:ind w:left="-54"/>
                    <w:jc w:val="right"/>
                    <w:rPr>
                      <w:rFonts w:eastAsia="Times New Roman"/>
                      <w:color w:val="000000"/>
                      <w:sz w:val="14"/>
                      <w:szCs w:val="14"/>
                    </w:rPr>
                  </w:pPr>
                  <w:r w:rsidRPr="002B4E56">
                    <w:rPr>
                      <w:rFonts w:eastAsia="Times New Roman"/>
                      <w:color w:val="000000"/>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58" w14:textId="77777777" w:rsidR="00810FBB" w:rsidRPr="002B4E56" w:rsidRDefault="00810FBB" w:rsidP="00170A32">
                  <w:pPr>
                    <w:rPr>
                      <w:rFonts w:eastAsia="Times New Roman"/>
                      <w:color w:val="000000"/>
                      <w:sz w:val="14"/>
                      <w:szCs w:val="14"/>
                    </w:rPr>
                  </w:pPr>
                </w:p>
              </w:tc>
            </w:tr>
          </w:tbl>
          <w:p w14:paraId="01C3755A" w14:textId="77777777" w:rsidR="00810FBB" w:rsidRPr="002B4E56" w:rsidRDefault="00810FBB" w:rsidP="00170A32">
            <w:pPr>
              <w:spacing w:line="360" w:lineRule="auto"/>
              <w:jc w:val="center"/>
              <w:rPr>
                <w:rFonts w:eastAsia="Times New Roman"/>
                <w:color w:val="000000"/>
                <w:sz w:val="14"/>
                <w:szCs w:val="14"/>
              </w:rPr>
            </w:pPr>
          </w:p>
        </w:tc>
        <w:tc>
          <w:tcPr>
            <w:tcW w:w="3780" w:type="dxa"/>
            <w:vMerge w:val="restart"/>
            <w:tcBorders>
              <w:top w:val="single" w:sz="12" w:space="0" w:color="auto"/>
            </w:tcBorders>
          </w:tcPr>
          <w:p w14:paraId="01C3755B" w14:textId="77777777" w:rsidR="00810FBB" w:rsidRPr="00CF2D28" w:rsidRDefault="00810FBB" w:rsidP="00170A32">
            <w:pPr>
              <w:spacing w:line="360" w:lineRule="auto"/>
              <w:rPr>
                <w:sz w:val="18"/>
                <w:szCs w:val="20"/>
              </w:rPr>
            </w:pPr>
          </w:p>
        </w:tc>
        <w:tc>
          <w:tcPr>
            <w:tcW w:w="720" w:type="dxa"/>
            <w:vMerge w:val="restart"/>
            <w:tcBorders>
              <w:top w:val="single" w:sz="12" w:space="0" w:color="auto"/>
              <w:right w:val="single" w:sz="12" w:space="0" w:color="000000" w:themeColor="text1"/>
            </w:tcBorders>
          </w:tcPr>
          <w:p w14:paraId="01C3755C" w14:textId="77777777" w:rsidR="00810FBB" w:rsidRPr="00CF2D28" w:rsidRDefault="00810FBB" w:rsidP="00170A32">
            <w:pPr>
              <w:spacing w:line="360" w:lineRule="auto"/>
              <w:rPr>
                <w:sz w:val="18"/>
                <w:szCs w:val="20"/>
              </w:rPr>
            </w:pPr>
          </w:p>
        </w:tc>
      </w:tr>
      <w:tr w:rsidR="00810FBB" w:rsidRPr="002B4E56" w14:paraId="01C37566" w14:textId="77777777" w:rsidTr="00030736">
        <w:trPr>
          <w:trHeight w:val="472"/>
        </w:trPr>
        <w:tc>
          <w:tcPr>
            <w:tcW w:w="1998" w:type="dxa"/>
            <w:tcBorders>
              <w:top w:val="dashed" w:sz="4" w:space="0" w:color="auto"/>
              <w:left w:val="single" w:sz="12" w:space="0" w:color="000000" w:themeColor="text1"/>
              <w:bottom w:val="single" w:sz="12" w:space="0" w:color="auto"/>
            </w:tcBorders>
          </w:tcPr>
          <w:p w14:paraId="01C3755E" w14:textId="77777777" w:rsidR="00810FBB" w:rsidRPr="00CF2D28" w:rsidRDefault="00810FBB" w:rsidP="00170A32">
            <w:pPr>
              <w:spacing w:line="360" w:lineRule="auto"/>
              <w:rPr>
                <w:sz w:val="18"/>
                <w:szCs w:val="20"/>
              </w:rPr>
            </w:pPr>
          </w:p>
        </w:tc>
        <w:tc>
          <w:tcPr>
            <w:tcW w:w="2520" w:type="dxa"/>
            <w:vMerge/>
            <w:tcBorders>
              <w:bottom w:val="single" w:sz="12" w:space="0" w:color="auto"/>
            </w:tcBorders>
          </w:tcPr>
          <w:p w14:paraId="01C3755F" w14:textId="77777777" w:rsidR="00810FBB" w:rsidRPr="00CF2D28" w:rsidRDefault="00810FBB" w:rsidP="00170A32">
            <w:pPr>
              <w:spacing w:line="360" w:lineRule="auto"/>
              <w:rPr>
                <w:sz w:val="18"/>
                <w:szCs w:val="20"/>
              </w:rPr>
            </w:pPr>
          </w:p>
        </w:tc>
        <w:tc>
          <w:tcPr>
            <w:tcW w:w="810" w:type="dxa"/>
            <w:vMerge/>
            <w:tcBorders>
              <w:bottom w:val="single" w:sz="12" w:space="0" w:color="auto"/>
            </w:tcBorders>
          </w:tcPr>
          <w:p w14:paraId="01C37560" w14:textId="77777777" w:rsidR="00810FBB" w:rsidRPr="00CF2D28" w:rsidRDefault="00810FBB" w:rsidP="00170A32">
            <w:pPr>
              <w:spacing w:before="120" w:line="360" w:lineRule="auto"/>
              <w:jc w:val="right"/>
              <w:rPr>
                <w:rFonts w:eastAsia="Times New Roman"/>
                <w:color w:val="000000"/>
                <w:sz w:val="18"/>
                <w:szCs w:val="20"/>
              </w:rPr>
            </w:pPr>
          </w:p>
        </w:tc>
        <w:tc>
          <w:tcPr>
            <w:tcW w:w="1080" w:type="dxa"/>
            <w:vMerge/>
            <w:tcBorders>
              <w:bottom w:val="single" w:sz="12" w:space="0" w:color="auto"/>
            </w:tcBorders>
            <w:vAlign w:val="center"/>
          </w:tcPr>
          <w:p w14:paraId="01C37561" w14:textId="77777777" w:rsidR="00810FBB" w:rsidRPr="002B4E56" w:rsidRDefault="00810FBB" w:rsidP="00170A32">
            <w:pPr>
              <w:spacing w:before="120" w:line="360" w:lineRule="auto"/>
              <w:jc w:val="right"/>
              <w:rPr>
                <w:rFonts w:eastAsia="Times New Roman"/>
                <w:color w:val="000000"/>
                <w:sz w:val="14"/>
                <w:szCs w:val="14"/>
              </w:rPr>
            </w:pPr>
          </w:p>
        </w:tc>
        <w:tc>
          <w:tcPr>
            <w:tcW w:w="1170" w:type="dxa"/>
            <w:vMerge/>
            <w:tcBorders>
              <w:bottom w:val="single" w:sz="12" w:space="0" w:color="auto"/>
            </w:tcBorders>
            <w:vAlign w:val="center"/>
          </w:tcPr>
          <w:p w14:paraId="01C37562" w14:textId="77777777" w:rsidR="00810FBB" w:rsidRPr="002B4E56" w:rsidRDefault="00810FBB" w:rsidP="00170A32">
            <w:pPr>
              <w:spacing w:line="360" w:lineRule="auto"/>
              <w:jc w:val="right"/>
              <w:rPr>
                <w:rFonts w:eastAsia="Times New Roman"/>
                <w:color w:val="000000"/>
                <w:sz w:val="14"/>
                <w:szCs w:val="14"/>
              </w:rPr>
            </w:pPr>
          </w:p>
        </w:tc>
        <w:tc>
          <w:tcPr>
            <w:tcW w:w="1080" w:type="dxa"/>
            <w:vMerge/>
            <w:tcBorders>
              <w:bottom w:val="single" w:sz="12" w:space="0" w:color="auto"/>
            </w:tcBorders>
            <w:vAlign w:val="center"/>
          </w:tcPr>
          <w:p w14:paraId="01C37563" w14:textId="77777777" w:rsidR="00810FBB" w:rsidRPr="002B4E56" w:rsidRDefault="00810FBB" w:rsidP="00170A32">
            <w:pPr>
              <w:spacing w:line="360" w:lineRule="auto"/>
              <w:jc w:val="right"/>
              <w:rPr>
                <w:rFonts w:eastAsia="Times New Roman"/>
                <w:color w:val="000000"/>
                <w:sz w:val="14"/>
                <w:szCs w:val="14"/>
              </w:rPr>
            </w:pPr>
          </w:p>
        </w:tc>
        <w:tc>
          <w:tcPr>
            <w:tcW w:w="3780" w:type="dxa"/>
            <w:vMerge/>
            <w:tcBorders>
              <w:bottom w:val="single" w:sz="12" w:space="0" w:color="auto"/>
            </w:tcBorders>
          </w:tcPr>
          <w:p w14:paraId="01C37564" w14:textId="77777777" w:rsidR="00810FBB" w:rsidRPr="00CF2D28" w:rsidRDefault="00810FBB" w:rsidP="00170A32">
            <w:pPr>
              <w:spacing w:line="360" w:lineRule="auto"/>
              <w:rPr>
                <w:sz w:val="18"/>
                <w:szCs w:val="20"/>
              </w:rPr>
            </w:pPr>
          </w:p>
        </w:tc>
        <w:tc>
          <w:tcPr>
            <w:tcW w:w="720" w:type="dxa"/>
            <w:vMerge/>
            <w:tcBorders>
              <w:bottom w:val="single" w:sz="12" w:space="0" w:color="auto"/>
              <w:right w:val="single" w:sz="12" w:space="0" w:color="000000" w:themeColor="text1"/>
            </w:tcBorders>
          </w:tcPr>
          <w:p w14:paraId="01C37565" w14:textId="77777777" w:rsidR="00810FBB" w:rsidRPr="00CF2D28" w:rsidRDefault="00810FBB" w:rsidP="00170A32">
            <w:pPr>
              <w:spacing w:line="360" w:lineRule="auto"/>
              <w:rPr>
                <w:sz w:val="18"/>
                <w:szCs w:val="20"/>
              </w:rPr>
            </w:pPr>
          </w:p>
        </w:tc>
      </w:tr>
      <w:tr w:rsidR="00810FBB" w:rsidRPr="002B4E56" w14:paraId="01C37584" w14:textId="77777777" w:rsidTr="00030736">
        <w:trPr>
          <w:trHeight w:val="473"/>
        </w:trPr>
        <w:tc>
          <w:tcPr>
            <w:tcW w:w="1998" w:type="dxa"/>
            <w:tcBorders>
              <w:top w:val="single" w:sz="12" w:space="0" w:color="auto"/>
              <w:left w:val="single" w:sz="12" w:space="0" w:color="000000" w:themeColor="text1"/>
              <w:bottom w:val="dashed" w:sz="4" w:space="0" w:color="auto"/>
            </w:tcBorders>
          </w:tcPr>
          <w:p w14:paraId="01C37567" w14:textId="77777777" w:rsidR="00810FBB" w:rsidRPr="00CF2D28" w:rsidRDefault="00810FBB" w:rsidP="00170A32">
            <w:pPr>
              <w:spacing w:line="360" w:lineRule="auto"/>
              <w:rPr>
                <w:sz w:val="18"/>
                <w:szCs w:val="20"/>
              </w:rPr>
            </w:pPr>
          </w:p>
        </w:tc>
        <w:tc>
          <w:tcPr>
            <w:tcW w:w="2520" w:type="dxa"/>
            <w:vMerge w:val="restart"/>
            <w:tcBorders>
              <w:top w:val="single" w:sz="12" w:space="0" w:color="auto"/>
            </w:tcBorders>
          </w:tcPr>
          <w:p w14:paraId="01C37568" w14:textId="77777777" w:rsidR="00810FBB" w:rsidRPr="00CF2D28" w:rsidRDefault="00810FBB" w:rsidP="00170A32">
            <w:pPr>
              <w:spacing w:line="360" w:lineRule="auto"/>
              <w:rPr>
                <w:sz w:val="18"/>
                <w:szCs w:val="20"/>
              </w:rPr>
            </w:pPr>
          </w:p>
        </w:tc>
        <w:tc>
          <w:tcPr>
            <w:tcW w:w="810" w:type="dxa"/>
            <w:vMerge w:val="restart"/>
            <w:tcBorders>
              <w:top w:val="single" w:sz="12" w:space="0" w:color="auto"/>
            </w:tcBorders>
          </w:tcPr>
          <w:p w14:paraId="01C37569" w14:textId="77777777" w:rsidR="00810FBB" w:rsidRPr="00CF2D28" w:rsidRDefault="00810FBB" w:rsidP="00170A32">
            <w:pPr>
              <w:ind w:left="-54"/>
              <w:jc w:val="right"/>
              <w:rPr>
                <w:rFonts w:eastAsia="Times New Roman"/>
                <w:color w:val="000000"/>
                <w:sz w:val="18"/>
                <w:szCs w:val="20"/>
              </w:rPr>
            </w:pPr>
          </w:p>
        </w:tc>
        <w:tc>
          <w:tcPr>
            <w:tcW w:w="108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810FBB" w:rsidRPr="002B4E56" w14:paraId="01C3756C" w14:textId="77777777" w:rsidTr="00170A32">
              <w:trPr>
                <w:trHeight w:hRule="exact" w:val="216"/>
                <w:tblCellSpacing w:w="14" w:type="dxa"/>
              </w:trPr>
              <w:tc>
                <w:tcPr>
                  <w:tcW w:w="601" w:type="dxa"/>
                  <w:vAlign w:val="center"/>
                </w:tcPr>
                <w:p w14:paraId="01C3756A" w14:textId="77777777" w:rsidR="00810FBB" w:rsidRPr="002B4E56" w:rsidRDefault="00810FBB" w:rsidP="00170A32">
                  <w:pPr>
                    <w:ind w:left="-54"/>
                    <w:jc w:val="right"/>
                    <w:rPr>
                      <w:rFonts w:eastAsia="Times New Roman"/>
                      <w:color w:val="000000"/>
                      <w:sz w:val="14"/>
                      <w:szCs w:val="14"/>
                    </w:rPr>
                  </w:pPr>
                  <w:r w:rsidRPr="002B4E56">
                    <w:rPr>
                      <w:rFonts w:eastAsia="Times New Roman"/>
                      <w:color w:val="000000"/>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6B" w14:textId="77777777" w:rsidR="00810FBB" w:rsidRPr="002B4E56" w:rsidRDefault="00810FBB" w:rsidP="00170A32">
                  <w:pPr>
                    <w:jc w:val="center"/>
                    <w:rPr>
                      <w:rFonts w:eastAsia="Times New Roman"/>
                      <w:color w:val="000000"/>
                      <w:sz w:val="14"/>
                      <w:szCs w:val="14"/>
                    </w:rPr>
                  </w:pPr>
                </w:p>
              </w:tc>
            </w:tr>
            <w:tr w:rsidR="00810FBB" w:rsidRPr="002B4E56" w14:paraId="01C3756F" w14:textId="77777777" w:rsidTr="00170A32">
              <w:trPr>
                <w:trHeight w:hRule="exact" w:val="216"/>
                <w:tblCellSpacing w:w="14" w:type="dxa"/>
              </w:trPr>
              <w:tc>
                <w:tcPr>
                  <w:tcW w:w="601" w:type="dxa"/>
                  <w:vAlign w:val="center"/>
                </w:tcPr>
                <w:p w14:paraId="01C3756D" w14:textId="77777777" w:rsidR="00810FBB" w:rsidRPr="002B4E56" w:rsidRDefault="00810FBB" w:rsidP="00170A32">
                  <w:pPr>
                    <w:ind w:left="-54"/>
                    <w:jc w:val="right"/>
                    <w:rPr>
                      <w:rFonts w:eastAsia="Times New Roman"/>
                      <w:color w:val="000000"/>
                      <w:sz w:val="14"/>
                      <w:szCs w:val="14"/>
                    </w:rPr>
                  </w:pPr>
                  <w:r w:rsidRPr="002B4E56">
                    <w:rPr>
                      <w:rFonts w:eastAsia="Times New Roman"/>
                      <w:color w:val="000000"/>
                      <w:sz w:val="14"/>
                      <w:szCs w:val="14"/>
                    </w:rPr>
                    <w:t>No</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6E" w14:textId="77777777" w:rsidR="00810FBB" w:rsidRPr="002B4E56" w:rsidRDefault="00810FBB" w:rsidP="00170A32">
                  <w:pPr>
                    <w:rPr>
                      <w:rFonts w:eastAsia="Times New Roman"/>
                      <w:color w:val="000000"/>
                      <w:sz w:val="14"/>
                      <w:szCs w:val="14"/>
                    </w:rPr>
                  </w:pPr>
                </w:p>
              </w:tc>
            </w:tr>
            <w:tr w:rsidR="00810FBB" w:rsidRPr="002B4E56" w14:paraId="01C37572" w14:textId="77777777" w:rsidTr="00170A32">
              <w:trPr>
                <w:trHeight w:hRule="exact" w:val="216"/>
                <w:tblCellSpacing w:w="14" w:type="dxa"/>
              </w:trPr>
              <w:tc>
                <w:tcPr>
                  <w:tcW w:w="601" w:type="dxa"/>
                  <w:vAlign w:val="center"/>
                </w:tcPr>
                <w:p w14:paraId="01C37570" w14:textId="676AF705" w:rsidR="00810FBB" w:rsidRPr="002B4E56" w:rsidRDefault="00BE6376" w:rsidP="00170A32">
                  <w:pPr>
                    <w:jc w:val="right"/>
                    <w:rPr>
                      <w:rFonts w:eastAsia="Times New Roman"/>
                      <w:color w:val="000000"/>
                      <w:sz w:val="14"/>
                      <w:szCs w:val="14"/>
                    </w:rPr>
                  </w:pPr>
                  <w:r w:rsidRPr="002B4E56">
                    <w:rPr>
                      <w:rFonts w:eastAsia="Times New Roman"/>
                      <w:color w:val="000000"/>
                      <w:sz w:val="14"/>
                      <w:szCs w:val="14"/>
                    </w:rPr>
                    <w:t>Yes, by</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71" w14:textId="77777777" w:rsidR="00810FBB" w:rsidRPr="002B4E56" w:rsidRDefault="00810FBB" w:rsidP="00170A32">
                  <w:pPr>
                    <w:jc w:val="center"/>
                    <w:rPr>
                      <w:rFonts w:eastAsia="Times New Roman"/>
                      <w:color w:val="000000"/>
                      <w:sz w:val="14"/>
                      <w:szCs w:val="14"/>
                    </w:rPr>
                  </w:pPr>
                </w:p>
              </w:tc>
            </w:tr>
          </w:tbl>
          <w:p w14:paraId="01C37573" w14:textId="2593ACF0" w:rsidR="00810FBB" w:rsidRPr="002B4E56" w:rsidRDefault="00BE6376" w:rsidP="00170A32">
            <w:pPr>
              <w:spacing w:line="360" w:lineRule="auto"/>
              <w:jc w:val="center"/>
              <w:rPr>
                <w:rFonts w:eastAsia="Times New Roman"/>
                <w:color w:val="000000"/>
                <w:sz w:val="14"/>
                <w:szCs w:val="14"/>
              </w:rPr>
            </w:pPr>
            <w:r w:rsidRPr="002B4E56">
              <w:rPr>
                <w:rFonts w:eastAsia="Times New Roman"/>
                <w:color w:val="000000"/>
                <w:sz w:val="14"/>
                <w:szCs w:val="14"/>
              </w:rPr>
              <w:t>Exemption</w:t>
            </w:r>
          </w:p>
        </w:tc>
        <w:tc>
          <w:tcPr>
            <w:tcW w:w="117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810FBB" w:rsidRPr="002B4E56" w14:paraId="01C37576" w14:textId="77777777" w:rsidTr="00170A32">
              <w:trPr>
                <w:trHeight w:hRule="exact" w:val="216"/>
                <w:tblCellSpacing w:w="14" w:type="dxa"/>
              </w:trPr>
              <w:tc>
                <w:tcPr>
                  <w:tcW w:w="601" w:type="dxa"/>
                  <w:vAlign w:val="center"/>
                </w:tcPr>
                <w:p w14:paraId="01C37574" w14:textId="77777777" w:rsidR="00810FBB" w:rsidRPr="002B4E56" w:rsidRDefault="00810FBB" w:rsidP="00170A32">
                  <w:pPr>
                    <w:ind w:left="-54"/>
                    <w:jc w:val="right"/>
                    <w:rPr>
                      <w:rFonts w:eastAsia="Times New Roman"/>
                      <w:color w:val="000000"/>
                      <w:sz w:val="14"/>
                      <w:szCs w:val="14"/>
                    </w:rPr>
                  </w:pPr>
                  <w:r w:rsidRPr="002B4E56">
                    <w:rPr>
                      <w:rFonts w:eastAsia="Times New Roman"/>
                      <w:color w:val="000000"/>
                      <w:sz w:val="14"/>
                      <w:szCs w:val="14"/>
                    </w:rPr>
                    <w:t>None</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75" w14:textId="77777777" w:rsidR="00810FBB" w:rsidRPr="002B4E56" w:rsidRDefault="00810FBB" w:rsidP="00170A32">
                  <w:pPr>
                    <w:jc w:val="center"/>
                    <w:rPr>
                      <w:rFonts w:eastAsia="Times New Roman"/>
                      <w:color w:val="000000"/>
                      <w:sz w:val="14"/>
                      <w:szCs w:val="14"/>
                    </w:rPr>
                  </w:pPr>
                </w:p>
              </w:tc>
            </w:tr>
            <w:tr w:rsidR="00810FBB" w:rsidRPr="002B4E56" w14:paraId="01C37579" w14:textId="77777777" w:rsidTr="00170A32">
              <w:trPr>
                <w:trHeight w:hRule="exact" w:val="216"/>
                <w:tblCellSpacing w:w="14" w:type="dxa"/>
              </w:trPr>
              <w:tc>
                <w:tcPr>
                  <w:tcW w:w="601" w:type="dxa"/>
                  <w:vAlign w:val="center"/>
                </w:tcPr>
                <w:p w14:paraId="01C37577" w14:textId="77777777" w:rsidR="00810FBB" w:rsidRPr="002B4E56" w:rsidRDefault="00810FBB" w:rsidP="00170A32">
                  <w:pPr>
                    <w:ind w:left="-54"/>
                    <w:jc w:val="right"/>
                    <w:rPr>
                      <w:rFonts w:eastAsia="Times New Roman"/>
                      <w:color w:val="000000"/>
                      <w:sz w:val="14"/>
                      <w:szCs w:val="14"/>
                    </w:rPr>
                  </w:pPr>
                  <w:r w:rsidRPr="002B4E56">
                    <w:rPr>
                      <w:rFonts w:eastAsia="Times New Roman"/>
                      <w:color w:val="000000"/>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78" w14:textId="77777777" w:rsidR="00810FBB" w:rsidRPr="002B4E56" w:rsidRDefault="00810FBB" w:rsidP="00170A32">
                  <w:pPr>
                    <w:rPr>
                      <w:rFonts w:eastAsia="Times New Roman"/>
                      <w:color w:val="000000"/>
                      <w:sz w:val="14"/>
                      <w:szCs w:val="14"/>
                    </w:rPr>
                  </w:pPr>
                </w:p>
              </w:tc>
            </w:tr>
          </w:tbl>
          <w:p w14:paraId="01C3757A" w14:textId="77777777" w:rsidR="00810FBB" w:rsidRPr="002B4E56" w:rsidRDefault="00810FBB" w:rsidP="00170A32">
            <w:pPr>
              <w:spacing w:line="360" w:lineRule="auto"/>
              <w:jc w:val="center"/>
              <w:rPr>
                <w:rFonts w:eastAsia="Times New Roman"/>
                <w:color w:val="000000"/>
                <w:sz w:val="14"/>
                <w:szCs w:val="14"/>
              </w:rPr>
            </w:pPr>
          </w:p>
        </w:tc>
        <w:tc>
          <w:tcPr>
            <w:tcW w:w="108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810FBB" w:rsidRPr="002B4E56" w14:paraId="01C3757D" w14:textId="77777777" w:rsidTr="00170A32">
              <w:trPr>
                <w:trHeight w:hRule="exact" w:val="216"/>
                <w:tblCellSpacing w:w="14" w:type="dxa"/>
              </w:trPr>
              <w:tc>
                <w:tcPr>
                  <w:tcW w:w="601" w:type="dxa"/>
                  <w:vAlign w:val="center"/>
                </w:tcPr>
                <w:p w14:paraId="01C3757B" w14:textId="77777777" w:rsidR="00810FBB" w:rsidRPr="002B4E56" w:rsidRDefault="00810FBB" w:rsidP="00170A32">
                  <w:pPr>
                    <w:ind w:left="-54"/>
                    <w:jc w:val="right"/>
                    <w:rPr>
                      <w:rFonts w:eastAsia="Times New Roman"/>
                      <w:color w:val="000000"/>
                      <w:sz w:val="14"/>
                      <w:szCs w:val="14"/>
                    </w:rPr>
                  </w:pPr>
                  <w:r w:rsidRPr="002B4E56">
                    <w:rPr>
                      <w:rFonts w:eastAsia="Times New Roman"/>
                      <w:color w:val="000000"/>
                      <w:sz w:val="14"/>
                      <w:szCs w:val="14"/>
                    </w:rPr>
                    <w:t>None</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7C" w14:textId="77777777" w:rsidR="00810FBB" w:rsidRPr="002B4E56" w:rsidRDefault="00810FBB" w:rsidP="00170A32">
                  <w:pPr>
                    <w:jc w:val="center"/>
                    <w:rPr>
                      <w:rFonts w:eastAsia="Times New Roman"/>
                      <w:color w:val="000000"/>
                      <w:sz w:val="14"/>
                      <w:szCs w:val="14"/>
                    </w:rPr>
                  </w:pPr>
                </w:p>
              </w:tc>
            </w:tr>
            <w:tr w:rsidR="00810FBB" w:rsidRPr="002B4E56" w14:paraId="01C37580" w14:textId="77777777" w:rsidTr="00170A32">
              <w:trPr>
                <w:trHeight w:hRule="exact" w:val="216"/>
                <w:tblCellSpacing w:w="14" w:type="dxa"/>
              </w:trPr>
              <w:tc>
                <w:tcPr>
                  <w:tcW w:w="601" w:type="dxa"/>
                  <w:vAlign w:val="center"/>
                </w:tcPr>
                <w:p w14:paraId="01C3757E" w14:textId="77777777" w:rsidR="00810FBB" w:rsidRPr="002B4E56" w:rsidRDefault="00810FBB" w:rsidP="00170A32">
                  <w:pPr>
                    <w:ind w:left="-54"/>
                    <w:jc w:val="right"/>
                    <w:rPr>
                      <w:rFonts w:eastAsia="Times New Roman"/>
                      <w:color w:val="000000"/>
                      <w:sz w:val="14"/>
                      <w:szCs w:val="14"/>
                    </w:rPr>
                  </w:pPr>
                  <w:r w:rsidRPr="002B4E56">
                    <w:rPr>
                      <w:rFonts w:eastAsia="Times New Roman"/>
                      <w:color w:val="000000"/>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7F" w14:textId="77777777" w:rsidR="00810FBB" w:rsidRPr="002B4E56" w:rsidRDefault="00810FBB" w:rsidP="00170A32">
                  <w:pPr>
                    <w:rPr>
                      <w:rFonts w:eastAsia="Times New Roman"/>
                      <w:color w:val="000000"/>
                      <w:sz w:val="14"/>
                      <w:szCs w:val="14"/>
                    </w:rPr>
                  </w:pPr>
                </w:p>
              </w:tc>
            </w:tr>
          </w:tbl>
          <w:p w14:paraId="01C37581" w14:textId="77777777" w:rsidR="00810FBB" w:rsidRPr="002B4E56" w:rsidRDefault="00810FBB" w:rsidP="00170A32">
            <w:pPr>
              <w:spacing w:line="360" w:lineRule="auto"/>
              <w:jc w:val="center"/>
              <w:rPr>
                <w:rFonts w:eastAsia="Times New Roman"/>
                <w:color w:val="000000"/>
                <w:sz w:val="14"/>
                <w:szCs w:val="14"/>
              </w:rPr>
            </w:pPr>
          </w:p>
        </w:tc>
        <w:tc>
          <w:tcPr>
            <w:tcW w:w="3780" w:type="dxa"/>
            <w:vMerge w:val="restart"/>
            <w:tcBorders>
              <w:top w:val="single" w:sz="12" w:space="0" w:color="auto"/>
            </w:tcBorders>
          </w:tcPr>
          <w:p w14:paraId="01C37582" w14:textId="77777777" w:rsidR="00810FBB" w:rsidRPr="00CF2D28" w:rsidRDefault="00810FBB" w:rsidP="00170A32">
            <w:pPr>
              <w:spacing w:line="360" w:lineRule="auto"/>
              <w:rPr>
                <w:sz w:val="18"/>
                <w:szCs w:val="20"/>
              </w:rPr>
            </w:pPr>
          </w:p>
        </w:tc>
        <w:tc>
          <w:tcPr>
            <w:tcW w:w="720" w:type="dxa"/>
            <w:vMerge w:val="restart"/>
            <w:tcBorders>
              <w:top w:val="single" w:sz="12" w:space="0" w:color="auto"/>
              <w:right w:val="single" w:sz="12" w:space="0" w:color="000000" w:themeColor="text1"/>
            </w:tcBorders>
          </w:tcPr>
          <w:p w14:paraId="01C37583" w14:textId="77777777" w:rsidR="00810FBB" w:rsidRPr="00CF2D28" w:rsidRDefault="00810FBB" w:rsidP="00170A32">
            <w:pPr>
              <w:spacing w:line="360" w:lineRule="auto"/>
              <w:rPr>
                <w:sz w:val="18"/>
                <w:szCs w:val="20"/>
              </w:rPr>
            </w:pPr>
          </w:p>
        </w:tc>
      </w:tr>
      <w:tr w:rsidR="00810FBB" w:rsidRPr="002B4E56" w14:paraId="01C3758D" w14:textId="77777777" w:rsidTr="00030736">
        <w:trPr>
          <w:trHeight w:val="472"/>
        </w:trPr>
        <w:tc>
          <w:tcPr>
            <w:tcW w:w="1998" w:type="dxa"/>
            <w:tcBorders>
              <w:top w:val="dashed" w:sz="4" w:space="0" w:color="auto"/>
              <w:left w:val="single" w:sz="12" w:space="0" w:color="000000" w:themeColor="text1"/>
              <w:bottom w:val="single" w:sz="12" w:space="0" w:color="auto"/>
            </w:tcBorders>
          </w:tcPr>
          <w:p w14:paraId="01C37585" w14:textId="77777777" w:rsidR="00810FBB" w:rsidRPr="00CF2D28" w:rsidRDefault="00810FBB" w:rsidP="00170A32">
            <w:pPr>
              <w:spacing w:line="360" w:lineRule="auto"/>
              <w:rPr>
                <w:sz w:val="18"/>
                <w:szCs w:val="20"/>
              </w:rPr>
            </w:pPr>
          </w:p>
        </w:tc>
        <w:tc>
          <w:tcPr>
            <w:tcW w:w="2520" w:type="dxa"/>
            <w:vMerge/>
            <w:tcBorders>
              <w:bottom w:val="single" w:sz="12" w:space="0" w:color="auto"/>
            </w:tcBorders>
          </w:tcPr>
          <w:p w14:paraId="01C37586" w14:textId="77777777" w:rsidR="00810FBB" w:rsidRPr="00CF2D28" w:rsidRDefault="00810FBB" w:rsidP="00170A32">
            <w:pPr>
              <w:spacing w:line="360" w:lineRule="auto"/>
              <w:rPr>
                <w:sz w:val="18"/>
                <w:szCs w:val="20"/>
              </w:rPr>
            </w:pPr>
          </w:p>
        </w:tc>
        <w:tc>
          <w:tcPr>
            <w:tcW w:w="810" w:type="dxa"/>
            <w:vMerge/>
            <w:tcBorders>
              <w:bottom w:val="single" w:sz="12" w:space="0" w:color="auto"/>
            </w:tcBorders>
          </w:tcPr>
          <w:p w14:paraId="01C37587" w14:textId="77777777" w:rsidR="00810FBB" w:rsidRPr="00CF2D28" w:rsidRDefault="00810FBB" w:rsidP="00170A32">
            <w:pPr>
              <w:spacing w:before="120" w:line="360" w:lineRule="auto"/>
              <w:jc w:val="right"/>
              <w:rPr>
                <w:rFonts w:eastAsia="Times New Roman"/>
                <w:color w:val="000000"/>
                <w:sz w:val="18"/>
                <w:szCs w:val="20"/>
              </w:rPr>
            </w:pPr>
          </w:p>
        </w:tc>
        <w:tc>
          <w:tcPr>
            <w:tcW w:w="1080" w:type="dxa"/>
            <w:vMerge/>
            <w:tcBorders>
              <w:bottom w:val="single" w:sz="12" w:space="0" w:color="auto"/>
            </w:tcBorders>
            <w:vAlign w:val="center"/>
          </w:tcPr>
          <w:p w14:paraId="01C37588" w14:textId="77777777" w:rsidR="00810FBB" w:rsidRPr="002B4E56" w:rsidRDefault="00810FBB" w:rsidP="00170A32">
            <w:pPr>
              <w:spacing w:before="120" w:line="360" w:lineRule="auto"/>
              <w:jc w:val="right"/>
              <w:rPr>
                <w:rFonts w:eastAsia="Times New Roman"/>
                <w:color w:val="000000"/>
                <w:sz w:val="14"/>
                <w:szCs w:val="14"/>
              </w:rPr>
            </w:pPr>
          </w:p>
        </w:tc>
        <w:tc>
          <w:tcPr>
            <w:tcW w:w="1170" w:type="dxa"/>
            <w:vMerge/>
            <w:tcBorders>
              <w:bottom w:val="single" w:sz="12" w:space="0" w:color="auto"/>
            </w:tcBorders>
            <w:vAlign w:val="center"/>
          </w:tcPr>
          <w:p w14:paraId="01C37589" w14:textId="77777777" w:rsidR="00810FBB" w:rsidRPr="002B4E56" w:rsidRDefault="00810FBB" w:rsidP="00170A32">
            <w:pPr>
              <w:spacing w:line="360" w:lineRule="auto"/>
              <w:jc w:val="right"/>
              <w:rPr>
                <w:rFonts w:eastAsia="Times New Roman"/>
                <w:color w:val="000000"/>
                <w:sz w:val="14"/>
                <w:szCs w:val="14"/>
              </w:rPr>
            </w:pPr>
          </w:p>
        </w:tc>
        <w:tc>
          <w:tcPr>
            <w:tcW w:w="1080" w:type="dxa"/>
            <w:vMerge/>
            <w:tcBorders>
              <w:bottom w:val="single" w:sz="12" w:space="0" w:color="auto"/>
            </w:tcBorders>
            <w:vAlign w:val="center"/>
          </w:tcPr>
          <w:p w14:paraId="01C3758A" w14:textId="77777777" w:rsidR="00810FBB" w:rsidRPr="002B4E56" w:rsidRDefault="00810FBB" w:rsidP="00170A32">
            <w:pPr>
              <w:spacing w:line="360" w:lineRule="auto"/>
              <w:jc w:val="right"/>
              <w:rPr>
                <w:rFonts w:eastAsia="Times New Roman"/>
                <w:color w:val="000000"/>
                <w:sz w:val="14"/>
                <w:szCs w:val="14"/>
              </w:rPr>
            </w:pPr>
          </w:p>
        </w:tc>
        <w:tc>
          <w:tcPr>
            <w:tcW w:w="3780" w:type="dxa"/>
            <w:vMerge/>
            <w:tcBorders>
              <w:bottom w:val="single" w:sz="12" w:space="0" w:color="auto"/>
            </w:tcBorders>
          </w:tcPr>
          <w:p w14:paraId="01C3758B" w14:textId="77777777" w:rsidR="00810FBB" w:rsidRPr="00CF2D28" w:rsidRDefault="00810FBB" w:rsidP="00170A32">
            <w:pPr>
              <w:spacing w:line="360" w:lineRule="auto"/>
              <w:rPr>
                <w:sz w:val="18"/>
                <w:szCs w:val="20"/>
              </w:rPr>
            </w:pPr>
          </w:p>
        </w:tc>
        <w:tc>
          <w:tcPr>
            <w:tcW w:w="720" w:type="dxa"/>
            <w:vMerge/>
            <w:tcBorders>
              <w:bottom w:val="single" w:sz="12" w:space="0" w:color="auto"/>
              <w:right w:val="single" w:sz="12" w:space="0" w:color="000000" w:themeColor="text1"/>
            </w:tcBorders>
          </w:tcPr>
          <w:p w14:paraId="01C3758C" w14:textId="77777777" w:rsidR="00810FBB" w:rsidRPr="00CF2D28" w:rsidRDefault="00810FBB" w:rsidP="00170A32">
            <w:pPr>
              <w:spacing w:line="360" w:lineRule="auto"/>
              <w:rPr>
                <w:sz w:val="18"/>
                <w:szCs w:val="20"/>
              </w:rPr>
            </w:pPr>
          </w:p>
        </w:tc>
      </w:tr>
      <w:tr w:rsidR="00344B22" w:rsidRPr="002B4E56" w14:paraId="01C375AB" w14:textId="77777777" w:rsidTr="00030736">
        <w:trPr>
          <w:trHeight w:val="473"/>
        </w:trPr>
        <w:tc>
          <w:tcPr>
            <w:tcW w:w="1998" w:type="dxa"/>
            <w:tcBorders>
              <w:top w:val="single" w:sz="12" w:space="0" w:color="auto"/>
              <w:left w:val="single" w:sz="12" w:space="0" w:color="000000" w:themeColor="text1"/>
              <w:bottom w:val="dashed" w:sz="4" w:space="0" w:color="auto"/>
            </w:tcBorders>
          </w:tcPr>
          <w:p w14:paraId="01C3758E" w14:textId="77777777" w:rsidR="00344B22" w:rsidRPr="00CF2D28" w:rsidRDefault="00344B22" w:rsidP="00170A32">
            <w:pPr>
              <w:spacing w:line="360" w:lineRule="auto"/>
              <w:rPr>
                <w:sz w:val="18"/>
                <w:szCs w:val="20"/>
              </w:rPr>
            </w:pPr>
          </w:p>
        </w:tc>
        <w:tc>
          <w:tcPr>
            <w:tcW w:w="2520" w:type="dxa"/>
            <w:vMerge w:val="restart"/>
            <w:tcBorders>
              <w:top w:val="single" w:sz="12" w:space="0" w:color="auto"/>
            </w:tcBorders>
          </w:tcPr>
          <w:p w14:paraId="01C3758F" w14:textId="77777777" w:rsidR="00344B22" w:rsidRPr="00CF2D28" w:rsidRDefault="00344B22" w:rsidP="00170A32">
            <w:pPr>
              <w:spacing w:line="360" w:lineRule="auto"/>
              <w:rPr>
                <w:sz w:val="18"/>
                <w:szCs w:val="20"/>
              </w:rPr>
            </w:pPr>
          </w:p>
        </w:tc>
        <w:tc>
          <w:tcPr>
            <w:tcW w:w="810" w:type="dxa"/>
            <w:vMerge w:val="restart"/>
            <w:tcBorders>
              <w:top w:val="single" w:sz="12" w:space="0" w:color="auto"/>
            </w:tcBorders>
          </w:tcPr>
          <w:p w14:paraId="01C37590" w14:textId="77777777" w:rsidR="00344B22" w:rsidRPr="00CF2D28" w:rsidRDefault="00344B22" w:rsidP="00170A32">
            <w:pPr>
              <w:ind w:left="-54"/>
              <w:jc w:val="right"/>
              <w:rPr>
                <w:rFonts w:eastAsia="Times New Roman"/>
                <w:color w:val="000000"/>
                <w:sz w:val="18"/>
                <w:szCs w:val="20"/>
              </w:rPr>
            </w:pPr>
          </w:p>
        </w:tc>
        <w:tc>
          <w:tcPr>
            <w:tcW w:w="108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344B22" w:rsidRPr="002B4E56" w14:paraId="01C37593" w14:textId="77777777" w:rsidTr="00A94F83">
              <w:trPr>
                <w:trHeight w:hRule="exact" w:val="216"/>
                <w:tblCellSpacing w:w="14" w:type="dxa"/>
              </w:trPr>
              <w:tc>
                <w:tcPr>
                  <w:tcW w:w="601" w:type="dxa"/>
                  <w:vAlign w:val="center"/>
                </w:tcPr>
                <w:p w14:paraId="01C37591" w14:textId="77777777" w:rsidR="00344B22" w:rsidRPr="002B4E56" w:rsidRDefault="00344B22" w:rsidP="00A94F83">
                  <w:pPr>
                    <w:ind w:left="-54"/>
                    <w:jc w:val="right"/>
                    <w:rPr>
                      <w:rFonts w:eastAsia="Times New Roman"/>
                      <w:color w:val="000000"/>
                      <w:sz w:val="14"/>
                      <w:szCs w:val="14"/>
                    </w:rPr>
                  </w:pPr>
                  <w:r w:rsidRPr="002B4E56">
                    <w:rPr>
                      <w:rFonts w:eastAsia="Times New Roman"/>
                      <w:color w:val="000000"/>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92" w14:textId="77777777" w:rsidR="00344B22" w:rsidRPr="002B4E56" w:rsidRDefault="00344B22" w:rsidP="00A94F83">
                  <w:pPr>
                    <w:jc w:val="center"/>
                    <w:rPr>
                      <w:rFonts w:eastAsia="Times New Roman"/>
                      <w:color w:val="000000"/>
                      <w:sz w:val="14"/>
                      <w:szCs w:val="14"/>
                    </w:rPr>
                  </w:pPr>
                </w:p>
              </w:tc>
            </w:tr>
            <w:tr w:rsidR="00344B22" w:rsidRPr="002B4E56" w14:paraId="01C37596" w14:textId="77777777" w:rsidTr="00A94F83">
              <w:trPr>
                <w:trHeight w:hRule="exact" w:val="216"/>
                <w:tblCellSpacing w:w="14" w:type="dxa"/>
              </w:trPr>
              <w:tc>
                <w:tcPr>
                  <w:tcW w:w="601" w:type="dxa"/>
                  <w:vAlign w:val="center"/>
                </w:tcPr>
                <w:p w14:paraId="01C37594" w14:textId="77777777" w:rsidR="00344B22" w:rsidRPr="002B4E56" w:rsidRDefault="00344B22" w:rsidP="00A94F83">
                  <w:pPr>
                    <w:ind w:left="-54"/>
                    <w:jc w:val="right"/>
                    <w:rPr>
                      <w:rFonts w:eastAsia="Times New Roman"/>
                      <w:color w:val="000000"/>
                      <w:sz w:val="14"/>
                      <w:szCs w:val="14"/>
                    </w:rPr>
                  </w:pPr>
                  <w:r w:rsidRPr="002B4E56">
                    <w:rPr>
                      <w:rFonts w:eastAsia="Times New Roman"/>
                      <w:color w:val="000000"/>
                      <w:sz w:val="14"/>
                      <w:szCs w:val="14"/>
                    </w:rPr>
                    <w:t>No</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95" w14:textId="77777777" w:rsidR="00344B22" w:rsidRPr="002B4E56" w:rsidRDefault="00344B22" w:rsidP="00A94F83">
                  <w:pPr>
                    <w:rPr>
                      <w:rFonts w:eastAsia="Times New Roman"/>
                      <w:color w:val="000000"/>
                      <w:sz w:val="14"/>
                      <w:szCs w:val="14"/>
                    </w:rPr>
                  </w:pPr>
                </w:p>
              </w:tc>
            </w:tr>
            <w:tr w:rsidR="00344B22" w:rsidRPr="002B4E56" w14:paraId="01C37599" w14:textId="77777777" w:rsidTr="00A94F83">
              <w:trPr>
                <w:trHeight w:hRule="exact" w:val="216"/>
                <w:tblCellSpacing w:w="14" w:type="dxa"/>
              </w:trPr>
              <w:tc>
                <w:tcPr>
                  <w:tcW w:w="601" w:type="dxa"/>
                  <w:vAlign w:val="center"/>
                </w:tcPr>
                <w:p w14:paraId="01C37597" w14:textId="0B6BB985" w:rsidR="00344B22" w:rsidRPr="002B4E56" w:rsidRDefault="00BE6376" w:rsidP="00A94F83">
                  <w:pPr>
                    <w:jc w:val="right"/>
                    <w:rPr>
                      <w:rFonts w:eastAsia="Times New Roman"/>
                      <w:color w:val="000000"/>
                      <w:sz w:val="14"/>
                      <w:szCs w:val="14"/>
                    </w:rPr>
                  </w:pPr>
                  <w:r w:rsidRPr="002B4E56">
                    <w:rPr>
                      <w:rFonts w:eastAsia="Times New Roman"/>
                      <w:color w:val="000000"/>
                      <w:sz w:val="14"/>
                      <w:szCs w:val="14"/>
                    </w:rPr>
                    <w:t>Yes, by</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98" w14:textId="77777777" w:rsidR="00344B22" w:rsidRPr="002B4E56" w:rsidRDefault="00344B22" w:rsidP="00A94F83">
                  <w:pPr>
                    <w:jc w:val="center"/>
                    <w:rPr>
                      <w:rFonts w:eastAsia="Times New Roman"/>
                      <w:color w:val="000000"/>
                      <w:sz w:val="14"/>
                      <w:szCs w:val="14"/>
                    </w:rPr>
                  </w:pPr>
                </w:p>
              </w:tc>
            </w:tr>
          </w:tbl>
          <w:p w14:paraId="01C3759A" w14:textId="2D5E276A" w:rsidR="00344B22" w:rsidRPr="002B4E56" w:rsidRDefault="00BE6376" w:rsidP="00A94F83">
            <w:pPr>
              <w:spacing w:line="360" w:lineRule="auto"/>
              <w:jc w:val="center"/>
              <w:rPr>
                <w:rFonts w:eastAsia="Times New Roman"/>
                <w:color w:val="000000"/>
                <w:sz w:val="14"/>
                <w:szCs w:val="14"/>
              </w:rPr>
            </w:pPr>
            <w:r w:rsidRPr="002B4E56">
              <w:rPr>
                <w:rFonts w:eastAsia="Times New Roman"/>
                <w:color w:val="000000"/>
                <w:sz w:val="14"/>
                <w:szCs w:val="14"/>
              </w:rPr>
              <w:t>Exemption</w:t>
            </w:r>
          </w:p>
        </w:tc>
        <w:tc>
          <w:tcPr>
            <w:tcW w:w="117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344B22" w:rsidRPr="002B4E56" w14:paraId="01C3759D" w14:textId="77777777" w:rsidTr="00A94F83">
              <w:trPr>
                <w:trHeight w:hRule="exact" w:val="216"/>
                <w:tblCellSpacing w:w="14" w:type="dxa"/>
              </w:trPr>
              <w:tc>
                <w:tcPr>
                  <w:tcW w:w="601" w:type="dxa"/>
                  <w:vAlign w:val="center"/>
                </w:tcPr>
                <w:p w14:paraId="01C3759B" w14:textId="77777777" w:rsidR="00344B22" w:rsidRPr="002B4E56" w:rsidRDefault="00344B22" w:rsidP="00A94F83">
                  <w:pPr>
                    <w:ind w:left="-54"/>
                    <w:jc w:val="right"/>
                    <w:rPr>
                      <w:rFonts w:eastAsia="Times New Roman"/>
                      <w:color w:val="000000"/>
                      <w:sz w:val="14"/>
                      <w:szCs w:val="14"/>
                    </w:rPr>
                  </w:pPr>
                  <w:r w:rsidRPr="002B4E56">
                    <w:rPr>
                      <w:rFonts w:eastAsia="Times New Roman"/>
                      <w:color w:val="000000"/>
                      <w:sz w:val="14"/>
                      <w:szCs w:val="14"/>
                    </w:rPr>
                    <w:t>None</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9C" w14:textId="77777777" w:rsidR="00344B22" w:rsidRPr="002B4E56" w:rsidRDefault="00344B22" w:rsidP="00A94F83">
                  <w:pPr>
                    <w:jc w:val="center"/>
                    <w:rPr>
                      <w:rFonts w:eastAsia="Times New Roman"/>
                      <w:color w:val="000000"/>
                      <w:sz w:val="14"/>
                      <w:szCs w:val="14"/>
                    </w:rPr>
                  </w:pPr>
                </w:p>
              </w:tc>
            </w:tr>
            <w:tr w:rsidR="00344B22" w:rsidRPr="002B4E56" w14:paraId="01C375A0" w14:textId="77777777" w:rsidTr="00A94F83">
              <w:trPr>
                <w:trHeight w:hRule="exact" w:val="216"/>
                <w:tblCellSpacing w:w="14" w:type="dxa"/>
              </w:trPr>
              <w:tc>
                <w:tcPr>
                  <w:tcW w:w="601" w:type="dxa"/>
                  <w:vAlign w:val="center"/>
                </w:tcPr>
                <w:p w14:paraId="01C3759E" w14:textId="77777777" w:rsidR="00344B22" w:rsidRPr="002B4E56" w:rsidRDefault="00344B22" w:rsidP="00A94F83">
                  <w:pPr>
                    <w:ind w:left="-54"/>
                    <w:jc w:val="right"/>
                    <w:rPr>
                      <w:rFonts w:eastAsia="Times New Roman"/>
                      <w:color w:val="000000"/>
                      <w:sz w:val="14"/>
                      <w:szCs w:val="14"/>
                    </w:rPr>
                  </w:pPr>
                  <w:r w:rsidRPr="002B4E56">
                    <w:rPr>
                      <w:rFonts w:eastAsia="Times New Roman"/>
                      <w:color w:val="000000"/>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9F" w14:textId="77777777" w:rsidR="00344B22" w:rsidRPr="002B4E56" w:rsidRDefault="00344B22" w:rsidP="00A94F83">
                  <w:pPr>
                    <w:rPr>
                      <w:rFonts w:eastAsia="Times New Roman"/>
                      <w:color w:val="000000"/>
                      <w:sz w:val="14"/>
                      <w:szCs w:val="14"/>
                    </w:rPr>
                  </w:pPr>
                </w:p>
              </w:tc>
            </w:tr>
          </w:tbl>
          <w:p w14:paraId="01C375A1" w14:textId="77777777" w:rsidR="00344B22" w:rsidRPr="002B4E56" w:rsidRDefault="00344B22" w:rsidP="00A94F83">
            <w:pPr>
              <w:spacing w:line="360" w:lineRule="auto"/>
              <w:jc w:val="center"/>
              <w:rPr>
                <w:rFonts w:eastAsia="Times New Roman"/>
                <w:color w:val="000000"/>
                <w:sz w:val="14"/>
                <w:szCs w:val="14"/>
              </w:rPr>
            </w:pPr>
          </w:p>
        </w:tc>
        <w:tc>
          <w:tcPr>
            <w:tcW w:w="108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344B22" w:rsidRPr="002B4E56" w14:paraId="01C375A4" w14:textId="77777777" w:rsidTr="00A94F83">
              <w:trPr>
                <w:trHeight w:hRule="exact" w:val="216"/>
                <w:tblCellSpacing w:w="14" w:type="dxa"/>
              </w:trPr>
              <w:tc>
                <w:tcPr>
                  <w:tcW w:w="601" w:type="dxa"/>
                  <w:vAlign w:val="center"/>
                </w:tcPr>
                <w:p w14:paraId="01C375A2" w14:textId="77777777" w:rsidR="00344B22" w:rsidRPr="002B4E56" w:rsidRDefault="00344B22" w:rsidP="00A94F83">
                  <w:pPr>
                    <w:ind w:left="-54"/>
                    <w:jc w:val="right"/>
                    <w:rPr>
                      <w:rFonts w:eastAsia="Times New Roman"/>
                      <w:color w:val="000000"/>
                      <w:sz w:val="14"/>
                      <w:szCs w:val="14"/>
                    </w:rPr>
                  </w:pPr>
                  <w:r w:rsidRPr="002B4E56">
                    <w:rPr>
                      <w:rFonts w:eastAsia="Times New Roman"/>
                      <w:color w:val="000000"/>
                      <w:sz w:val="14"/>
                      <w:szCs w:val="14"/>
                    </w:rPr>
                    <w:t>None</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A3" w14:textId="77777777" w:rsidR="00344B22" w:rsidRPr="002B4E56" w:rsidRDefault="00344B22" w:rsidP="00A94F83">
                  <w:pPr>
                    <w:jc w:val="center"/>
                    <w:rPr>
                      <w:rFonts w:eastAsia="Times New Roman"/>
                      <w:color w:val="000000"/>
                      <w:sz w:val="14"/>
                      <w:szCs w:val="14"/>
                    </w:rPr>
                  </w:pPr>
                </w:p>
              </w:tc>
            </w:tr>
            <w:tr w:rsidR="00344B22" w:rsidRPr="002B4E56" w14:paraId="01C375A7" w14:textId="77777777" w:rsidTr="00A94F83">
              <w:trPr>
                <w:trHeight w:hRule="exact" w:val="216"/>
                <w:tblCellSpacing w:w="14" w:type="dxa"/>
              </w:trPr>
              <w:tc>
                <w:tcPr>
                  <w:tcW w:w="601" w:type="dxa"/>
                  <w:vAlign w:val="center"/>
                </w:tcPr>
                <w:p w14:paraId="01C375A5" w14:textId="77777777" w:rsidR="00344B22" w:rsidRPr="002B4E56" w:rsidRDefault="00344B22" w:rsidP="00A94F83">
                  <w:pPr>
                    <w:ind w:left="-54"/>
                    <w:jc w:val="right"/>
                    <w:rPr>
                      <w:rFonts w:eastAsia="Times New Roman"/>
                      <w:color w:val="000000"/>
                      <w:sz w:val="14"/>
                      <w:szCs w:val="14"/>
                    </w:rPr>
                  </w:pPr>
                  <w:r w:rsidRPr="002B4E56">
                    <w:rPr>
                      <w:rFonts w:eastAsia="Times New Roman"/>
                      <w:color w:val="000000"/>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A6" w14:textId="77777777" w:rsidR="00344B22" w:rsidRPr="002B4E56" w:rsidRDefault="00344B22" w:rsidP="00A94F83">
                  <w:pPr>
                    <w:rPr>
                      <w:rFonts w:eastAsia="Times New Roman"/>
                      <w:color w:val="000000"/>
                      <w:sz w:val="14"/>
                      <w:szCs w:val="14"/>
                    </w:rPr>
                  </w:pPr>
                </w:p>
              </w:tc>
            </w:tr>
          </w:tbl>
          <w:p w14:paraId="01C375A8" w14:textId="77777777" w:rsidR="00344B22" w:rsidRPr="002B4E56" w:rsidRDefault="00344B22" w:rsidP="00A94F83">
            <w:pPr>
              <w:spacing w:line="360" w:lineRule="auto"/>
              <w:jc w:val="center"/>
              <w:rPr>
                <w:rFonts w:eastAsia="Times New Roman"/>
                <w:color w:val="000000"/>
                <w:sz w:val="14"/>
                <w:szCs w:val="14"/>
              </w:rPr>
            </w:pPr>
          </w:p>
        </w:tc>
        <w:tc>
          <w:tcPr>
            <w:tcW w:w="3780" w:type="dxa"/>
            <w:vMerge w:val="restart"/>
            <w:tcBorders>
              <w:top w:val="single" w:sz="12" w:space="0" w:color="auto"/>
            </w:tcBorders>
          </w:tcPr>
          <w:p w14:paraId="01C375A9" w14:textId="77777777" w:rsidR="00344B22" w:rsidRPr="00CF2D28" w:rsidRDefault="00344B22" w:rsidP="00170A32">
            <w:pPr>
              <w:spacing w:line="360" w:lineRule="auto"/>
              <w:rPr>
                <w:sz w:val="18"/>
                <w:szCs w:val="20"/>
              </w:rPr>
            </w:pPr>
          </w:p>
        </w:tc>
        <w:tc>
          <w:tcPr>
            <w:tcW w:w="720" w:type="dxa"/>
            <w:vMerge w:val="restart"/>
            <w:tcBorders>
              <w:top w:val="single" w:sz="12" w:space="0" w:color="auto"/>
              <w:right w:val="single" w:sz="12" w:space="0" w:color="000000" w:themeColor="text1"/>
            </w:tcBorders>
          </w:tcPr>
          <w:p w14:paraId="01C375AA" w14:textId="77777777" w:rsidR="00344B22" w:rsidRPr="00CF2D28" w:rsidRDefault="00344B22" w:rsidP="00170A32">
            <w:pPr>
              <w:spacing w:line="360" w:lineRule="auto"/>
              <w:rPr>
                <w:sz w:val="18"/>
                <w:szCs w:val="20"/>
              </w:rPr>
            </w:pPr>
          </w:p>
        </w:tc>
      </w:tr>
      <w:tr w:rsidR="002C158F" w:rsidRPr="002B4E56" w14:paraId="01C375B4" w14:textId="77777777" w:rsidTr="00030736">
        <w:trPr>
          <w:trHeight w:val="472"/>
        </w:trPr>
        <w:tc>
          <w:tcPr>
            <w:tcW w:w="1998" w:type="dxa"/>
            <w:tcBorders>
              <w:top w:val="dashed" w:sz="4" w:space="0" w:color="auto"/>
              <w:left w:val="single" w:sz="12" w:space="0" w:color="000000" w:themeColor="text1"/>
              <w:bottom w:val="single" w:sz="12" w:space="0" w:color="auto"/>
            </w:tcBorders>
          </w:tcPr>
          <w:p w14:paraId="01C375AC" w14:textId="77777777" w:rsidR="002C158F" w:rsidRPr="00CF2D28" w:rsidRDefault="002C158F" w:rsidP="00170A32">
            <w:pPr>
              <w:spacing w:line="360" w:lineRule="auto"/>
              <w:rPr>
                <w:sz w:val="18"/>
                <w:szCs w:val="20"/>
              </w:rPr>
            </w:pPr>
          </w:p>
        </w:tc>
        <w:tc>
          <w:tcPr>
            <w:tcW w:w="2520" w:type="dxa"/>
            <w:vMerge/>
            <w:tcBorders>
              <w:bottom w:val="single" w:sz="12" w:space="0" w:color="000000" w:themeColor="text1"/>
            </w:tcBorders>
          </w:tcPr>
          <w:p w14:paraId="01C375AD" w14:textId="77777777" w:rsidR="002C158F" w:rsidRPr="00CF2D28" w:rsidRDefault="002C158F" w:rsidP="00170A32">
            <w:pPr>
              <w:spacing w:line="360" w:lineRule="auto"/>
              <w:rPr>
                <w:sz w:val="18"/>
                <w:szCs w:val="20"/>
              </w:rPr>
            </w:pPr>
          </w:p>
        </w:tc>
        <w:tc>
          <w:tcPr>
            <w:tcW w:w="810" w:type="dxa"/>
            <w:vMerge/>
            <w:tcBorders>
              <w:bottom w:val="single" w:sz="12" w:space="0" w:color="000000" w:themeColor="text1"/>
            </w:tcBorders>
          </w:tcPr>
          <w:p w14:paraId="01C375AE" w14:textId="77777777" w:rsidR="002C158F" w:rsidRPr="00CF2D28" w:rsidRDefault="002C158F" w:rsidP="00170A32">
            <w:pPr>
              <w:spacing w:before="120" w:line="360" w:lineRule="auto"/>
              <w:jc w:val="right"/>
              <w:rPr>
                <w:rFonts w:eastAsia="Times New Roman"/>
                <w:color w:val="000000"/>
                <w:sz w:val="18"/>
                <w:szCs w:val="20"/>
              </w:rPr>
            </w:pPr>
          </w:p>
        </w:tc>
        <w:tc>
          <w:tcPr>
            <w:tcW w:w="1080" w:type="dxa"/>
            <w:vMerge/>
            <w:tcBorders>
              <w:bottom w:val="single" w:sz="12" w:space="0" w:color="000000" w:themeColor="text1"/>
            </w:tcBorders>
          </w:tcPr>
          <w:p w14:paraId="01C375AF" w14:textId="77777777" w:rsidR="002C158F" w:rsidRPr="002B4E56" w:rsidRDefault="002C158F" w:rsidP="00170A32">
            <w:pPr>
              <w:spacing w:before="120" w:line="360" w:lineRule="auto"/>
              <w:jc w:val="right"/>
              <w:rPr>
                <w:rFonts w:eastAsia="Times New Roman"/>
                <w:color w:val="000000"/>
                <w:sz w:val="14"/>
                <w:szCs w:val="14"/>
              </w:rPr>
            </w:pPr>
          </w:p>
        </w:tc>
        <w:tc>
          <w:tcPr>
            <w:tcW w:w="1170" w:type="dxa"/>
            <w:vMerge/>
            <w:tcBorders>
              <w:bottom w:val="single" w:sz="12" w:space="0" w:color="000000" w:themeColor="text1"/>
            </w:tcBorders>
          </w:tcPr>
          <w:p w14:paraId="01C375B0" w14:textId="77777777" w:rsidR="002C158F" w:rsidRPr="002B4E56" w:rsidRDefault="002C158F" w:rsidP="00170A32">
            <w:pPr>
              <w:spacing w:line="360" w:lineRule="auto"/>
              <w:jc w:val="right"/>
              <w:rPr>
                <w:rFonts w:eastAsia="Times New Roman"/>
                <w:color w:val="000000"/>
                <w:sz w:val="14"/>
                <w:szCs w:val="14"/>
              </w:rPr>
            </w:pPr>
          </w:p>
        </w:tc>
        <w:tc>
          <w:tcPr>
            <w:tcW w:w="1080" w:type="dxa"/>
            <w:vMerge/>
            <w:tcBorders>
              <w:bottom w:val="single" w:sz="12" w:space="0" w:color="000000" w:themeColor="text1"/>
            </w:tcBorders>
          </w:tcPr>
          <w:p w14:paraId="01C375B1" w14:textId="77777777" w:rsidR="002C158F" w:rsidRPr="002B4E56" w:rsidRDefault="002C158F" w:rsidP="00170A32">
            <w:pPr>
              <w:spacing w:line="360" w:lineRule="auto"/>
              <w:jc w:val="right"/>
              <w:rPr>
                <w:rFonts w:eastAsia="Times New Roman"/>
                <w:color w:val="000000"/>
                <w:sz w:val="14"/>
                <w:szCs w:val="14"/>
              </w:rPr>
            </w:pPr>
          </w:p>
        </w:tc>
        <w:tc>
          <w:tcPr>
            <w:tcW w:w="3780" w:type="dxa"/>
            <w:vMerge/>
            <w:tcBorders>
              <w:bottom w:val="single" w:sz="12" w:space="0" w:color="000000" w:themeColor="text1"/>
            </w:tcBorders>
          </w:tcPr>
          <w:p w14:paraId="01C375B2" w14:textId="77777777" w:rsidR="002C158F" w:rsidRPr="00CF2D28" w:rsidRDefault="002C158F" w:rsidP="00170A32">
            <w:pPr>
              <w:spacing w:line="360" w:lineRule="auto"/>
              <w:rPr>
                <w:sz w:val="18"/>
                <w:szCs w:val="20"/>
              </w:rPr>
            </w:pPr>
          </w:p>
        </w:tc>
        <w:tc>
          <w:tcPr>
            <w:tcW w:w="720" w:type="dxa"/>
            <w:vMerge/>
            <w:tcBorders>
              <w:bottom w:val="single" w:sz="12" w:space="0" w:color="000000" w:themeColor="text1"/>
              <w:right w:val="single" w:sz="12" w:space="0" w:color="000000" w:themeColor="text1"/>
            </w:tcBorders>
          </w:tcPr>
          <w:p w14:paraId="01C375B3" w14:textId="77777777" w:rsidR="002C158F" w:rsidRPr="00CF2D28" w:rsidRDefault="002C158F" w:rsidP="00170A32">
            <w:pPr>
              <w:spacing w:line="360" w:lineRule="auto"/>
              <w:rPr>
                <w:sz w:val="18"/>
                <w:szCs w:val="20"/>
              </w:rPr>
            </w:pPr>
          </w:p>
        </w:tc>
      </w:tr>
      <w:tr w:rsidR="00344B22" w:rsidRPr="002B4E56" w14:paraId="01C375D2" w14:textId="77777777" w:rsidTr="00030736">
        <w:trPr>
          <w:trHeight w:val="473"/>
        </w:trPr>
        <w:tc>
          <w:tcPr>
            <w:tcW w:w="1998" w:type="dxa"/>
            <w:tcBorders>
              <w:top w:val="single" w:sz="12" w:space="0" w:color="auto"/>
              <w:left w:val="single" w:sz="12" w:space="0" w:color="000000" w:themeColor="text1"/>
              <w:bottom w:val="dashed" w:sz="4" w:space="0" w:color="auto"/>
            </w:tcBorders>
          </w:tcPr>
          <w:p w14:paraId="01C375B5" w14:textId="77777777" w:rsidR="00344B22" w:rsidRPr="00CF2D28" w:rsidRDefault="00344B22" w:rsidP="00170A32">
            <w:pPr>
              <w:spacing w:line="360" w:lineRule="auto"/>
              <w:rPr>
                <w:sz w:val="18"/>
                <w:szCs w:val="20"/>
              </w:rPr>
            </w:pPr>
          </w:p>
        </w:tc>
        <w:tc>
          <w:tcPr>
            <w:tcW w:w="2520" w:type="dxa"/>
            <w:vMerge w:val="restart"/>
            <w:tcBorders>
              <w:top w:val="single" w:sz="12" w:space="0" w:color="000000" w:themeColor="text1"/>
            </w:tcBorders>
          </w:tcPr>
          <w:p w14:paraId="01C375B6" w14:textId="77777777" w:rsidR="00344B22" w:rsidRPr="00CF2D28" w:rsidRDefault="00344B22" w:rsidP="00170A32">
            <w:pPr>
              <w:spacing w:line="360" w:lineRule="auto"/>
              <w:rPr>
                <w:sz w:val="18"/>
                <w:szCs w:val="20"/>
              </w:rPr>
            </w:pPr>
          </w:p>
        </w:tc>
        <w:tc>
          <w:tcPr>
            <w:tcW w:w="810" w:type="dxa"/>
            <w:vMerge w:val="restart"/>
            <w:tcBorders>
              <w:top w:val="single" w:sz="12" w:space="0" w:color="000000" w:themeColor="text1"/>
            </w:tcBorders>
          </w:tcPr>
          <w:p w14:paraId="01C375B7" w14:textId="77777777" w:rsidR="00344B22" w:rsidRPr="00CF2D28" w:rsidRDefault="00344B22" w:rsidP="00170A32">
            <w:pPr>
              <w:ind w:left="-54"/>
              <w:jc w:val="right"/>
              <w:rPr>
                <w:rFonts w:eastAsia="Times New Roman"/>
                <w:color w:val="000000"/>
                <w:sz w:val="18"/>
                <w:szCs w:val="20"/>
              </w:rPr>
            </w:pPr>
          </w:p>
        </w:tc>
        <w:tc>
          <w:tcPr>
            <w:tcW w:w="1080" w:type="dxa"/>
            <w:vMerge w:val="restart"/>
            <w:tcBorders>
              <w:top w:val="single" w:sz="12" w:space="0" w:color="000000" w:themeColor="text1"/>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344B22" w:rsidRPr="002B4E56" w14:paraId="01C375BA" w14:textId="77777777" w:rsidTr="00A94F83">
              <w:trPr>
                <w:trHeight w:hRule="exact" w:val="216"/>
                <w:tblCellSpacing w:w="14" w:type="dxa"/>
              </w:trPr>
              <w:tc>
                <w:tcPr>
                  <w:tcW w:w="601" w:type="dxa"/>
                  <w:vAlign w:val="center"/>
                </w:tcPr>
                <w:p w14:paraId="01C375B8" w14:textId="77777777" w:rsidR="00344B22" w:rsidRPr="002B4E56" w:rsidRDefault="00344B22" w:rsidP="00A94F83">
                  <w:pPr>
                    <w:ind w:left="-54"/>
                    <w:jc w:val="right"/>
                    <w:rPr>
                      <w:rFonts w:eastAsia="Times New Roman"/>
                      <w:color w:val="000000"/>
                      <w:sz w:val="14"/>
                      <w:szCs w:val="14"/>
                    </w:rPr>
                  </w:pPr>
                  <w:r w:rsidRPr="002B4E56">
                    <w:rPr>
                      <w:rFonts w:eastAsia="Times New Roman"/>
                      <w:color w:val="000000"/>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B9" w14:textId="77777777" w:rsidR="00344B22" w:rsidRPr="002B4E56" w:rsidRDefault="00344B22" w:rsidP="00A94F83">
                  <w:pPr>
                    <w:jc w:val="center"/>
                    <w:rPr>
                      <w:rFonts w:eastAsia="Times New Roman"/>
                      <w:color w:val="000000"/>
                      <w:sz w:val="14"/>
                      <w:szCs w:val="14"/>
                    </w:rPr>
                  </w:pPr>
                </w:p>
              </w:tc>
            </w:tr>
            <w:tr w:rsidR="00344B22" w:rsidRPr="002B4E56" w14:paraId="01C375BD" w14:textId="77777777" w:rsidTr="00A94F83">
              <w:trPr>
                <w:trHeight w:hRule="exact" w:val="216"/>
                <w:tblCellSpacing w:w="14" w:type="dxa"/>
              </w:trPr>
              <w:tc>
                <w:tcPr>
                  <w:tcW w:w="601" w:type="dxa"/>
                  <w:vAlign w:val="center"/>
                </w:tcPr>
                <w:p w14:paraId="01C375BB" w14:textId="77777777" w:rsidR="00344B22" w:rsidRPr="002B4E56" w:rsidRDefault="00344B22" w:rsidP="00A94F83">
                  <w:pPr>
                    <w:ind w:left="-54"/>
                    <w:jc w:val="right"/>
                    <w:rPr>
                      <w:rFonts w:eastAsia="Times New Roman"/>
                      <w:color w:val="000000"/>
                      <w:sz w:val="14"/>
                      <w:szCs w:val="14"/>
                    </w:rPr>
                  </w:pPr>
                  <w:r w:rsidRPr="002B4E56">
                    <w:rPr>
                      <w:rFonts w:eastAsia="Times New Roman"/>
                      <w:color w:val="000000"/>
                      <w:sz w:val="14"/>
                      <w:szCs w:val="14"/>
                    </w:rPr>
                    <w:t>No</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BC" w14:textId="77777777" w:rsidR="00344B22" w:rsidRPr="002B4E56" w:rsidRDefault="00344B22" w:rsidP="00A94F83">
                  <w:pPr>
                    <w:rPr>
                      <w:rFonts w:eastAsia="Times New Roman"/>
                      <w:color w:val="000000"/>
                      <w:sz w:val="14"/>
                      <w:szCs w:val="14"/>
                    </w:rPr>
                  </w:pPr>
                </w:p>
              </w:tc>
            </w:tr>
            <w:tr w:rsidR="00344B22" w:rsidRPr="002B4E56" w14:paraId="01C375C0" w14:textId="77777777" w:rsidTr="00A94F83">
              <w:trPr>
                <w:trHeight w:hRule="exact" w:val="216"/>
                <w:tblCellSpacing w:w="14" w:type="dxa"/>
              </w:trPr>
              <w:tc>
                <w:tcPr>
                  <w:tcW w:w="601" w:type="dxa"/>
                  <w:vAlign w:val="center"/>
                </w:tcPr>
                <w:p w14:paraId="01C375BE" w14:textId="6F2CDE1B" w:rsidR="00344B22" w:rsidRPr="002B4E56" w:rsidRDefault="00BE6376" w:rsidP="00A94F83">
                  <w:pPr>
                    <w:jc w:val="right"/>
                    <w:rPr>
                      <w:rFonts w:eastAsia="Times New Roman"/>
                      <w:color w:val="000000"/>
                      <w:sz w:val="14"/>
                      <w:szCs w:val="14"/>
                    </w:rPr>
                  </w:pPr>
                  <w:r w:rsidRPr="002B4E56">
                    <w:rPr>
                      <w:rFonts w:eastAsia="Times New Roman"/>
                      <w:color w:val="000000"/>
                      <w:sz w:val="14"/>
                      <w:szCs w:val="14"/>
                    </w:rPr>
                    <w:t>Yes, by</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BF" w14:textId="77777777" w:rsidR="00344B22" w:rsidRPr="002B4E56" w:rsidRDefault="00344B22" w:rsidP="00A94F83">
                  <w:pPr>
                    <w:jc w:val="center"/>
                    <w:rPr>
                      <w:rFonts w:eastAsia="Times New Roman"/>
                      <w:color w:val="000000"/>
                      <w:sz w:val="14"/>
                      <w:szCs w:val="14"/>
                    </w:rPr>
                  </w:pPr>
                </w:p>
              </w:tc>
            </w:tr>
          </w:tbl>
          <w:p w14:paraId="01C375C1" w14:textId="101AD824" w:rsidR="00344B22" w:rsidRPr="002B4E56" w:rsidRDefault="00BE6376" w:rsidP="00A94F83">
            <w:pPr>
              <w:spacing w:line="360" w:lineRule="auto"/>
              <w:jc w:val="center"/>
              <w:rPr>
                <w:rFonts w:eastAsia="Times New Roman"/>
                <w:color w:val="000000"/>
                <w:sz w:val="14"/>
                <w:szCs w:val="14"/>
              </w:rPr>
            </w:pPr>
            <w:r w:rsidRPr="002B4E56">
              <w:rPr>
                <w:rFonts w:eastAsia="Times New Roman"/>
                <w:color w:val="000000"/>
                <w:sz w:val="14"/>
                <w:szCs w:val="14"/>
              </w:rPr>
              <w:t>Exemption</w:t>
            </w:r>
          </w:p>
        </w:tc>
        <w:tc>
          <w:tcPr>
            <w:tcW w:w="1170" w:type="dxa"/>
            <w:vMerge w:val="restart"/>
            <w:tcBorders>
              <w:top w:val="single" w:sz="12" w:space="0" w:color="000000" w:themeColor="text1"/>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344B22" w:rsidRPr="002B4E56" w14:paraId="01C375C4" w14:textId="77777777" w:rsidTr="00A94F83">
              <w:trPr>
                <w:trHeight w:hRule="exact" w:val="216"/>
                <w:tblCellSpacing w:w="14" w:type="dxa"/>
              </w:trPr>
              <w:tc>
                <w:tcPr>
                  <w:tcW w:w="601" w:type="dxa"/>
                  <w:vAlign w:val="center"/>
                </w:tcPr>
                <w:p w14:paraId="01C375C2" w14:textId="77777777" w:rsidR="00344B22" w:rsidRPr="002B4E56" w:rsidRDefault="00344B22" w:rsidP="00A94F83">
                  <w:pPr>
                    <w:ind w:left="-54"/>
                    <w:jc w:val="right"/>
                    <w:rPr>
                      <w:rFonts w:eastAsia="Times New Roman"/>
                      <w:color w:val="000000"/>
                      <w:sz w:val="14"/>
                      <w:szCs w:val="14"/>
                    </w:rPr>
                  </w:pPr>
                  <w:r w:rsidRPr="002B4E56">
                    <w:rPr>
                      <w:rFonts w:eastAsia="Times New Roman"/>
                      <w:color w:val="000000"/>
                      <w:sz w:val="14"/>
                      <w:szCs w:val="14"/>
                    </w:rPr>
                    <w:t>None</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C3" w14:textId="77777777" w:rsidR="00344B22" w:rsidRPr="002B4E56" w:rsidRDefault="00344B22" w:rsidP="00A94F83">
                  <w:pPr>
                    <w:jc w:val="center"/>
                    <w:rPr>
                      <w:rFonts w:eastAsia="Times New Roman"/>
                      <w:color w:val="000000"/>
                      <w:sz w:val="14"/>
                      <w:szCs w:val="14"/>
                    </w:rPr>
                  </w:pPr>
                </w:p>
              </w:tc>
            </w:tr>
            <w:tr w:rsidR="00344B22" w:rsidRPr="002B4E56" w14:paraId="01C375C7" w14:textId="77777777" w:rsidTr="00A94F83">
              <w:trPr>
                <w:trHeight w:hRule="exact" w:val="216"/>
                <w:tblCellSpacing w:w="14" w:type="dxa"/>
              </w:trPr>
              <w:tc>
                <w:tcPr>
                  <w:tcW w:w="601" w:type="dxa"/>
                  <w:vAlign w:val="center"/>
                </w:tcPr>
                <w:p w14:paraId="01C375C5" w14:textId="77777777" w:rsidR="00344B22" w:rsidRPr="002B4E56" w:rsidRDefault="00344B22" w:rsidP="00A94F83">
                  <w:pPr>
                    <w:ind w:left="-54"/>
                    <w:jc w:val="right"/>
                    <w:rPr>
                      <w:rFonts w:eastAsia="Times New Roman"/>
                      <w:color w:val="000000"/>
                      <w:sz w:val="14"/>
                      <w:szCs w:val="14"/>
                    </w:rPr>
                  </w:pPr>
                  <w:r w:rsidRPr="002B4E56">
                    <w:rPr>
                      <w:rFonts w:eastAsia="Times New Roman"/>
                      <w:color w:val="000000"/>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C6" w14:textId="77777777" w:rsidR="00344B22" w:rsidRPr="002B4E56" w:rsidRDefault="00344B22" w:rsidP="00A94F83">
                  <w:pPr>
                    <w:rPr>
                      <w:rFonts w:eastAsia="Times New Roman"/>
                      <w:color w:val="000000"/>
                      <w:sz w:val="14"/>
                      <w:szCs w:val="14"/>
                    </w:rPr>
                  </w:pPr>
                </w:p>
              </w:tc>
            </w:tr>
          </w:tbl>
          <w:p w14:paraId="01C375C8" w14:textId="77777777" w:rsidR="00344B22" w:rsidRPr="002B4E56" w:rsidRDefault="00344B22" w:rsidP="00A94F83">
            <w:pPr>
              <w:spacing w:line="360" w:lineRule="auto"/>
              <w:jc w:val="center"/>
              <w:rPr>
                <w:rFonts w:eastAsia="Times New Roman"/>
                <w:color w:val="000000"/>
                <w:sz w:val="14"/>
                <w:szCs w:val="14"/>
              </w:rPr>
            </w:pPr>
          </w:p>
        </w:tc>
        <w:tc>
          <w:tcPr>
            <w:tcW w:w="1080" w:type="dxa"/>
            <w:vMerge w:val="restart"/>
            <w:tcBorders>
              <w:top w:val="single" w:sz="12" w:space="0" w:color="000000" w:themeColor="text1"/>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344B22" w:rsidRPr="002B4E56" w14:paraId="01C375CB" w14:textId="77777777" w:rsidTr="00A94F83">
              <w:trPr>
                <w:trHeight w:hRule="exact" w:val="216"/>
                <w:tblCellSpacing w:w="14" w:type="dxa"/>
              </w:trPr>
              <w:tc>
                <w:tcPr>
                  <w:tcW w:w="601" w:type="dxa"/>
                  <w:vAlign w:val="center"/>
                </w:tcPr>
                <w:p w14:paraId="01C375C9" w14:textId="77777777" w:rsidR="00344B22" w:rsidRPr="002B4E56" w:rsidRDefault="00344B22" w:rsidP="00A94F83">
                  <w:pPr>
                    <w:ind w:left="-54"/>
                    <w:jc w:val="right"/>
                    <w:rPr>
                      <w:rFonts w:eastAsia="Times New Roman"/>
                      <w:color w:val="000000"/>
                      <w:sz w:val="14"/>
                      <w:szCs w:val="14"/>
                    </w:rPr>
                  </w:pPr>
                  <w:r w:rsidRPr="002B4E56">
                    <w:rPr>
                      <w:rFonts w:eastAsia="Times New Roman"/>
                      <w:color w:val="000000"/>
                      <w:sz w:val="14"/>
                      <w:szCs w:val="14"/>
                    </w:rPr>
                    <w:t>None</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CA" w14:textId="77777777" w:rsidR="00344B22" w:rsidRPr="002B4E56" w:rsidRDefault="00344B22" w:rsidP="00A94F83">
                  <w:pPr>
                    <w:jc w:val="center"/>
                    <w:rPr>
                      <w:rFonts w:eastAsia="Times New Roman"/>
                      <w:color w:val="000000"/>
                      <w:sz w:val="14"/>
                      <w:szCs w:val="14"/>
                    </w:rPr>
                  </w:pPr>
                </w:p>
              </w:tc>
            </w:tr>
            <w:tr w:rsidR="00344B22" w:rsidRPr="002B4E56" w14:paraId="01C375CE" w14:textId="77777777" w:rsidTr="00A94F83">
              <w:trPr>
                <w:trHeight w:hRule="exact" w:val="216"/>
                <w:tblCellSpacing w:w="14" w:type="dxa"/>
              </w:trPr>
              <w:tc>
                <w:tcPr>
                  <w:tcW w:w="601" w:type="dxa"/>
                  <w:vAlign w:val="center"/>
                </w:tcPr>
                <w:p w14:paraId="01C375CC" w14:textId="77777777" w:rsidR="00344B22" w:rsidRPr="002B4E56" w:rsidRDefault="00344B22" w:rsidP="00A94F83">
                  <w:pPr>
                    <w:ind w:left="-54"/>
                    <w:jc w:val="right"/>
                    <w:rPr>
                      <w:rFonts w:eastAsia="Times New Roman"/>
                      <w:color w:val="000000"/>
                      <w:sz w:val="14"/>
                      <w:szCs w:val="14"/>
                    </w:rPr>
                  </w:pPr>
                  <w:r w:rsidRPr="002B4E56">
                    <w:rPr>
                      <w:rFonts w:eastAsia="Times New Roman"/>
                      <w:color w:val="000000"/>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CD" w14:textId="77777777" w:rsidR="00344B22" w:rsidRPr="002B4E56" w:rsidRDefault="00344B22" w:rsidP="00A94F83">
                  <w:pPr>
                    <w:rPr>
                      <w:rFonts w:eastAsia="Times New Roman"/>
                      <w:color w:val="000000"/>
                      <w:sz w:val="14"/>
                      <w:szCs w:val="14"/>
                    </w:rPr>
                  </w:pPr>
                </w:p>
              </w:tc>
            </w:tr>
          </w:tbl>
          <w:p w14:paraId="01C375CF" w14:textId="77777777" w:rsidR="00344B22" w:rsidRPr="002B4E56" w:rsidRDefault="00344B22" w:rsidP="00A94F83">
            <w:pPr>
              <w:spacing w:line="360" w:lineRule="auto"/>
              <w:jc w:val="center"/>
              <w:rPr>
                <w:rFonts w:eastAsia="Times New Roman"/>
                <w:color w:val="000000"/>
                <w:sz w:val="14"/>
                <w:szCs w:val="14"/>
              </w:rPr>
            </w:pPr>
          </w:p>
        </w:tc>
        <w:tc>
          <w:tcPr>
            <w:tcW w:w="3780" w:type="dxa"/>
            <w:vMerge w:val="restart"/>
            <w:tcBorders>
              <w:top w:val="single" w:sz="12" w:space="0" w:color="000000" w:themeColor="text1"/>
            </w:tcBorders>
          </w:tcPr>
          <w:p w14:paraId="01C375D0" w14:textId="77777777" w:rsidR="00344B22" w:rsidRPr="00CF2D28" w:rsidRDefault="00344B22" w:rsidP="00170A32">
            <w:pPr>
              <w:spacing w:line="360" w:lineRule="auto"/>
              <w:rPr>
                <w:sz w:val="18"/>
                <w:szCs w:val="20"/>
              </w:rPr>
            </w:pPr>
          </w:p>
        </w:tc>
        <w:tc>
          <w:tcPr>
            <w:tcW w:w="720" w:type="dxa"/>
            <w:vMerge w:val="restart"/>
            <w:tcBorders>
              <w:top w:val="single" w:sz="12" w:space="0" w:color="000000" w:themeColor="text1"/>
              <w:right w:val="single" w:sz="12" w:space="0" w:color="000000" w:themeColor="text1"/>
            </w:tcBorders>
          </w:tcPr>
          <w:p w14:paraId="01C375D1" w14:textId="77777777" w:rsidR="00344B22" w:rsidRPr="00CF2D28" w:rsidRDefault="00344B22" w:rsidP="00170A32">
            <w:pPr>
              <w:spacing w:line="360" w:lineRule="auto"/>
              <w:rPr>
                <w:sz w:val="18"/>
                <w:szCs w:val="20"/>
              </w:rPr>
            </w:pPr>
          </w:p>
        </w:tc>
      </w:tr>
      <w:tr w:rsidR="002C158F" w:rsidRPr="002B4E56" w14:paraId="01C375DB" w14:textId="77777777" w:rsidTr="00030736">
        <w:trPr>
          <w:trHeight w:val="472"/>
        </w:trPr>
        <w:tc>
          <w:tcPr>
            <w:tcW w:w="1998" w:type="dxa"/>
            <w:tcBorders>
              <w:top w:val="dashed" w:sz="4" w:space="0" w:color="auto"/>
              <w:left w:val="single" w:sz="12" w:space="0" w:color="000000" w:themeColor="text1"/>
              <w:bottom w:val="single" w:sz="12" w:space="0" w:color="auto"/>
            </w:tcBorders>
          </w:tcPr>
          <w:p w14:paraId="01C375D3" w14:textId="77777777" w:rsidR="002C158F" w:rsidRPr="00CF2D28" w:rsidRDefault="002C158F" w:rsidP="00170A32">
            <w:pPr>
              <w:spacing w:line="360" w:lineRule="auto"/>
              <w:rPr>
                <w:sz w:val="18"/>
                <w:szCs w:val="20"/>
              </w:rPr>
            </w:pPr>
          </w:p>
        </w:tc>
        <w:tc>
          <w:tcPr>
            <w:tcW w:w="2520" w:type="dxa"/>
            <w:vMerge/>
            <w:tcBorders>
              <w:bottom w:val="single" w:sz="12" w:space="0" w:color="000000" w:themeColor="text1"/>
            </w:tcBorders>
          </w:tcPr>
          <w:p w14:paraId="01C375D4" w14:textId="77777777" w:rsidR="002C158F" w:rsidRPr="00CF2D28" w:rsidRDefault="002C158F" w:rsidP="00170A32">
            <w:pPr>
              <w:spacing w:line="360" w:lineRule="auto"/>
              <w:rPr>
                <w:sz w:val="18"/>
                <w:szCs w:val="20"/>
              </w:rPr>
            </w:pPr>
          </w:p>
        </w:tc>
        <w:tc>
          <w:tcPr>
            <w:tcW w:w="810" w:type="dxa"/>
            <w:vMerge/>
            <w:tcBorders>
              <w:bottom w:val="single" w:sz="12" w:space="0" w:color="000000" w:themeColor="text1"/>
            </w:tcBorders>
          </w:tcPr>
          <w:p w14:paraId="01C375D5" w14:textId="77777777" w:rsidR="002C158F" w:rsidRPr="00CF2D28" w:rsidRDefault="002C158F" w:rsidP="00170A32">
            <w:pPr>
              <w:spacing w:before="120" w:line="360" w:lineRule="auto"/>
              <w:jc w:val="right"/>
              <w:rPr>
                <w:rFonts w:eastAsia="Times New Roman"/>
                <w:color w:val="000000"/>
                <w:sz w:val="18"/>
                <w:szCs w:val="20"/>
              </w:rPr>
            </w:pPr>
          </w:p>
        </w:tc>
        <w:tc>
          <w:tcPr>
            <w:tcW w:w="1080" w:type="dxa"/>
            <w:vMerge/>
            <w:tcBorders>
              <w:bottom w:val="single" w:sz="12" w:space="0" w:color="000000" w:themeColor="text1"/>
            </w:tcBorders>
          </w:tcPr>
          <w:p w14:paraId="01C375D6" w14:textId="77777777" w:rsidR="002C158F" w:rsidRPr="002B4E56" w:rsidRDefault="002C158F" w:rsidP="00170A32">
            <w:pPr>
              <w:spacing w:before="120" w:line="360" w:lineRule="auto"/>
              <w:jc w:val="right"/>
              <w:rPr>
                <w:rFonts w:eastAsia="Times New Roman"/>
                <w:color w:val="000000"/>
                <w:sz w:val="14"/>
                <w:szCs w:val="14"/>
              </w:rPr>
            </w:pPr>
          </w:p>
        </w:tc>
        <w:tc>
          <w:tcPr>
            <w:tcW w:w="1170" w:type="dxa"/>
            <w:vMerge/>
            <w:tcBorders>
              <w:bottom w:val="single" w:sz="12" w:space="0" w:color="000000" w:themeColor="text1"/>
            </w:tcBorders>
          </w:tcPr>
          <w:p w14:paraId="01C375D7" w14:textId="77777777" w:rsidR="002C158F" w:rsidRPr="002B4E56" w:rsidRDefault="002C158F" w:rsidP="00170A32">
            <w:pPr>
              <w:spacing w:line="360" w:lineRule="auto"/>
              <w:jc w:val="right"/>
              <w:rPr>
                <w:rFonts w:eastAsia="Times New Roman"/>
                <w:color w:val="000000"/>
                <w:sz w:val="14"/>
                <w:szCs w:val="14"/>
              </w:rPr>
            </w:pPr>
          </w:p>
        </w:tc>
        <w:tc>
          <w:tcPr>
            <w:tcW w:w="1080" w:type="dxa"/>
            <w:vMerge/>
            <w:tcBorders>
              <w:bottom w:val="single" w:sz="12" w:space="0" w:color="000000" w:themeColor="text1"/>
            </w:tcBorders>
          </w:tcPr>
          <w:p w14:paraId="01C375D8" w14:textId="77777777" w:rsidR="002C158F" w:rsidRPr="002B4E56" w:rsidRDefault="002C158F" w:rsidP="00170A32">
            <w:pPr>
              <w:spacing w:line="360" w:lineRule="auto"/>
              <w:jc w:val="right"/>
              <w:rPr>
                <w:rFonts w:eastAsia="Times New Roman"/>
                <w:color w:val="000000"/>
                <w:sz w:val="14"/>
                <w:szCs w:val="14"/>
              </w:rPr>
            </w:pPr>
          </w:p>
        </w:tc>
        <w:tc>
          <w:tcPr>
            <w:tcW w:w="3780" w:type="dxa"/>
            <w:vMerge/>
            <w:tcBorders>
              <w:bottom w:val="single" w:sz="12" w:space="0" w:color="000000" w:themeColor="text1"/>
            </w:tcBorders>
          </w:tcPr>
          <w:p w14:paraId="01C375D9" w14:textId="77777777" w:rsidR="002C158F" w:rsidRPr="00CF2D28" w:rsidRDefault="002C158F" w:rsidP="00170A32">
            <w:pPr>
              <w:spacing w:line="360" w:lineRule="auto"/>
              <w:rPr>
                <w:sz w:val="18"/>
                <w:szCs w:val="20"/>
              </w:rPr>
            </w:pPr>
          </w:p>
        </w:tc>
        <w:tc>
          <w:tcPr>
            <w:tcW w:w="720" w:type="dxa"/>
            <w:vMerge/>
            <w:tcBorders>
              <w:bottom w:val="single" w:sz="12" w:space="0" w:color="000000" w:themeColor="text1"/>
              <w:right w:val="single" w:sz="12" w:space="0" w:color="000000" w:themeColor="text1"/>
            </w:tcBorders>
          </w:tcPr>
          <w:p w14:paraId="01C375DA" w14:textId="77777777" w:rsidR="002C158F" w:rsidRPr="00CF2D28" w:rsidRDefault="002C158F" w:rsidP="00170A32">
            <w:pPr>
              <w:spacing w:line="360" w:lineRule="auto"/>
              <w:rPr>
                <w:sz w:val="18"/>
                <w:szCs w:val="20"/>
              </w:rPr>
            </w:pPr>
          </w:p>
        </w:tc>
      </w:tr>
      <w:tr w:rsidR="00344B22" w:rsidRPr="002B4E56" w14:paraId="01C375F9" w14:textId="77777777" w:rsidTr="00030736">
        <w:trPr>
          <w:trHeight w:val="473"/>
        </w:trPr>
        <w:tc>
          <w:tcPr>
            <w:tcW w:w="1998" w:type="dxa"/>
            <w:tcBorders>
              <w:top w:val="single" w:sz="12" w:space="0" w:color="auto"/>
              <w:left w:val="single" w:sz="12" w:space="0" w:color="000000" w:themeColor="text1"/>
              <w:bottom w:val="dashed" w:sz="4" w:space="0" w:color="auto"/>
            </w:tcBorders>
          </w:tcPr>
          <w:p w14:paraId="01C375DC" w14:textId="77777777" w:rsidR="00344B22" w:rsidRPr="00CF2D28" w:rsidRDefault="00344B22" w:rsidP="00170A32">
            <w:pPr>
              <w:spacing w:line="360" w:lineRule="auto"/>
              <w:rPr>
                <w:sz w:val="18"/>
                <w:szCs w:val="20"/>
              </w:rPr>
            </w:pPr>
          </w:p>
        </w:tc>
        <w:tc>
          <w:tcPr>
            <w:tcW w:w="2520" w:type="dxa"/>
            <w:vMerge w:val="restart"/>
            <w:tcBorders>
              <w:top w:val="single" w:sz="12" w:space="0" w:color="000000" w:themeColor="text1"/>
              <w:bottom w:val="single" w:sz="4" w:space="0" w:color="000000" w:themeColor="text1"/>
            </w:tcBorders>
          </w:tcPr>
          <w:p w14:paraId="01C375DD" w14:textId="77777777" w:rsidR="00344B22" w:rsidRPr="00CF2D28" w:rsidRDefault="00344B22" w:rsidP="00170A32">
            <w:pPr>
              <w:spacing w:line="360" w:lineRule="auto"/>
              <w:rPr>
                <w:sz w:val="18"/>
                <w:szCs w:val="20"/>
              </w:rPr>
            </w:pPr>
          </w:p>
        </w:tc>
        <w:tc>
          <w:tcPr>
            <w:tcW w:w="810" w:type="dxa"/>
            <w:vMerge w:val="restart"/>
            <w:tcBorders>
              <w:top w:val="single" w:sz="12" w:space="0" w:color="000000" w:themeColor="text1"/>
              <w:bottom w:val="single" w:sz="4" w:space="0" w:color="000000" w:themeColor="text1"/>
            </w:tcBorders>
          </w:tcPr>
          <w:p w14:paraId="01C375DE" w14:textId="77777777" w:rsidR="00344B22" w:rsidRPr="00CF2D28" w:rsidRDefault="00344B22" w:rsidP="00170A32">
            <w:pPr>
              <w:ind w:left="-54"/>
              <w:jc w:val="right"/>
              <w:rPr>
                <w:rFonts w:eastAsia="Times New Roman"/>
                <w:color w:val="000000"/>
                <w:sz w:val="18"/>
                <w:szCs w:val="20"/>
              </w:rPr>
            </w:pPr>
          </w:p>
        </w:tc>
        <w:tc>
          <w:tcPr>
            <w:tcW w:w="1080" w:type="dxa"/>
            <w:vMerge w:val="restart"/>
            <w:tcBorders>
              <w:top w:val="single" w:sz="12" w:space="0" w:color="000000" w:themeColor="text1"/>
              <w:bottom w:val="single" w:sz="4" w:space="0" w:color="000000" w:themeColor="text1"/>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344B22" w:rsidRPr="002B4E56" w14:paraId="01C375E1" w14:textId="77777777" w:rsidTr="00A94F83">
              <w:trPr>
                <w:trHeight w:hRule="exact" w:val="216"/>
                <w:tblCellSpacing w:w="14" w:type="dxa"/>
              </w:trPr>
              <w:tc>
                <w:tcPr>
                  <w:tcW w:w="601" w:type="dxa"/>
                  <w:vAlign w:val="center"/>
                </w:tcPr>
                <w:p w14:paraId="01C375DF" w14:textId="77777777" w:rsidR="00344B22" w:rsidRPr="002B4E56" w:rsidRDefault="00344B22" w:rsidP="00A94F83">
                  <w:pPr>
                    <w:ind w:left="-54"/>
                    <w:jc w:val="right"/>
                    <w:rPr>
                      <w:rFonts w:eastAsia="Times New Roman"/>
                      <w:color w:val="000000"/>
                      <w:sz w:val="14"/>
                      <w:szCs w:val="14"/>
                    </w:rPr>
                  </w:pPr>
                  <w:r w:rsidRPr="002B4E56">
                    <w:rPr>
                      <w:rFonts w:eastAsia="Times New Roman"/>
                      <w:color w:val="000000"/>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E0" w14:textId="77777777" w:rsidR="00344B22" w:rsidRPr="002B4E56" w:rsidRDefault="00344B22" w:rsidP="00A94F83">
                  <w:pPr>
                    <w:jc w:val="center"/>
                    <w:rPr>
                      <w:rFonts w:eastAsia="Times New Roman"/>
                      <w:color w:val="000000"/>
                      <w:sz w:val="14"/>
                      <w:szCs w:val="14"/>
                    </w:rPr>
                  </w:pPr>
                </w:p>
              </w:tc>
            </w:tr>
            <w:tr w:rsidR="00344B22" w:rsidRPr="002B4E56" w14:paraId="01C375E4" w14:textId="77777777" w:rsidTr="00A94F83">
              <w:trPr>
                <w:trHeight w:hRule="exact" w:val="216"/>
                <w:tblCellSpacing w:w="14" w:type="dxa"/>
              </w:trPr>
              <w:tc>
                <w:tcPr>
                  <w:tcW w:w="601" w:type="dxa"/>
                  <w:vAlign w:val="center"/>
                </w:tcPr>
                <w:p w14:paraId="01C375E2" w14:textId="77777777" w:rsidR="00344B22" w:rsidRPr="002B4E56" w:rsidRDefault="00344B22" w:rsidP="00A94F83">
                  <w:pPr>
                    <w:ind w:left="-54"/>
                    <w:jc w:val="right"/>
                    <w:rPr>
                      <w:rFonts w:eastAsia="Times New Roman"/>
                      <w:color w:val="000000"/>
                      <w:sz w:val="14"/>
                      <w:szCs w:val="14"/>
                    </w:rPr>
                  </w:pPr>
                  <w:r w:rsidRPr="002B4E56">
                    <w:rPr>
                      <w:rFonts w:eastAsia="Times New Roman"/>
                      <w:color w:val="000000"/>
                      <w:sz w:val="14"/>
                      <w:szCs w:val="14"/>
                    </w:rPr>
                    <w:t>No</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E3" w14:textId="77777777" w:rsidR="00344B22" w:rsidRPr="002B4E56" w:rsidRDefault="00344B22" w:rsidP="00A94F83">
                  <w:pPr>
                    <w:rPr>
                      <w:rFonts w:eastAsia="Times New Roman"/>
                      <w:color w:val="000000"/>
                      <w:sz w:val="14"/>
                      <w:szCs w:val="14"/>
                    </w:rPr>
                  </w:pPr>
                </w:p>
              </w:tc>
            </w:tr>
            <w:tr w:rsidR="00344B22" w:rsidRPr="002B4E56" w14:paraId="01C375E7" w14:textId="77777777" w:rsidTr="00A94F83">
              <w:trPr>
                <w:trHeight w:hRule="exact" w:val="216"/>
                <w:tblCellSpacing w:w="14" w:type="dxa"/>
              </w:trPr>
              <w:tc>
                <w:tcPr>
                  <w:tcW w:w="601" w:type="dxa"/>
                  <w:vAlign w:val="center"/>
                </w:tcPr>
                <w:p w14:paraId="01C375E5" w14:textId="0A88C8E9" w:rsidR="00344B22" w:rsidRPr="002B4E56" w:rsidRDefault="00BE6376" w:rsidP="00A94F83">
                  <w:pPr>
                    <w:jc w:val="right"/>
                    <w:rPr>
                      <w:rFonts w:eastAsia="Times New Roman"/>
                      <w:color w:val="000000"/>
                      <w:sz w:val="14"/>
                      <w:szCs w:val="14"/>
                    </w:rPr>
                  </w:pPr>
                  <w:r w:rsidRPr="002B4E56">
                    <w:rPr>
                      <w:rFonts w:eastAsia="Times New Roman"/>
                      <w:color w:val="000000"/>
                      <w:sz w:val="14"/>
                      <w:szCs w:val="14"/>
                    </w:rPr>
                    <w:t>Yes, by</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E6" w14:textId="77777777" w:rsidR="00344B22" w:rsidRPr="002B4E56" w:rsidRDefault="00344B22" w:rsidP="00A94F83">
                  <w:pPr>
                    <w:jc w:val="center"/>
                    <w:rPr>
                      <w:rFonts w:eastAsia="Times New Roman"/>
                      <w:color w:val="000000"/>
                      <w:sz w:val="14"/>
                      <w:szCs w:val="14"/>
                    </w:rPr>
                  </w:pPr>
                </w:p>
              </w:tc>
            </w:tr>
          </w:tbl>
          <w:p w14:paraId="01C375E8" w14:textId="70E28D41" w:rsidR="00344B22" w:rsidRPr="002B4E56" w:rsidRDefault="00BE6376" w:rsidP="00A94F83">
            <w:pPr>
              <w:spacing w:line="360" w:lineRule="auto"/>
              <w:jc w:val="center"/>
              <w:rPr>
                <w:rFonts w:eastAsia="Times New Roman"/>
                <w:color w:val="000000"/>
                <w:sz w:val="14"/>
                <w:szCs w:val="14"/>
              </w:rPr>
            </w:pPr>
            <w:r w:rsidRPr="002B4E56">
              <w:rPr>
                <w:rFonts w:eastAsia="Times New Roman"/>
                <w:color w:val="000000"/>
                <w:sz w:val="14"/>
                <w:szCs w:val="14"/>
              </w:rPr>
              <w:t>Exemption</w:t>
            </w:r>
          </w:p>
        </w:tc>
        <w:tc>
          <w:tcPr>
            <w:tcW w:w="1170" w:type="dxa"/>
            <w:vMerge w:val="restart"/>
            <w:tcBorders>
              <w:top w:val="single" w:sz="12" w:space="0" w:color="000000" w:themeColor="text1"/>
              <w:bottom w:val="single" w:sz="4" w:space="0" w:color="000000" w:themeColor="text1"/>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344B22" w:rsidRPr="002B4E56" w14:paraId="01C375EB" w14:textId="77777777" w:rsidTr="00A94F83">
              <w:trPr>
                <w:trHeight w:hRule="exact" w:val="216"/>
                <w:tblCellSpacing w:w="14" w:type="dxa"/>
              </w:trPr>
              <w:tc>
                <w:tcPr>
                  <w:tcW w:w="601" w:type="dxa"/>
                  <w:vAlign w:val="center"/>
                </w:tcPr>
                <w:p w14:paraId="01C375E9" w14:textId="77777777" w:rsidR="00344B22" w:rsidRPr="002B4E56" w:rsidRDefault="00344B22" w:rsidP="00A94F83">
                  <w:pPr>
                    <w:ind w:left="-54"/>
                    <w:jc w:val="right"/>
                    <w:rPr>
                      <w:rFonts w:eastAsia="Times New Roman"/>
                      <w:color w:val="000000"/>
                      <w:sz w:val="14"/>
                      <w:szCs w:val="14"/>
                    </w:rPr>
                  </w:pPr>
                  <w:r w:rsidRPr="002B4E56">
                    <w:rPr>
                      <w:rFonts w:eastAsia="Times New Roman"/>
                      <w:color w:val="000000"/>
                      <w:sz w:val="14"/>
                      <w:szCs w:val="14"/>
                    </w:rPr>
                    <w:t>None</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EA" w14:textId="77777777" w:rsidR="00344B22" w:rsidRPr="002B4E56" w:rsidRDefault="00344B22" w:rsidP="00A94F83">
                  <w:pPr>
                    <w:jc w:val="center"/>
                    <w:rPr>
                      <w:rFonts w:eastAsia="Times New Roman"/>
                      <w:color w:val="000000"/>
                      <w:sz w:val="14"/>
                      <w:szCs w:val="14"/>
                    </w:rPr>
                  </w:pPr>
                </w:p>
              </w:tc>
            </w:tr>
            <w:tr w:rsidR="00344B22" w:rsidRPr="002B4E56" w14:paraId="01C375EE" w14:textId="77777777" w:rsidTr="00A94F83">
              <w:trPr>
                <w:trHeight w:hRule="exact" w:val="216"/>
                <w:tblCellSpacing w:w="14" w:type="dxa"/>
              </w:trPr>
              <w:tc>
                <w:tcPr>
                  <w:tcW w:w="601" w:type="dxa"/>
                  <w:vAlign w:val="center"/>
                </w:tcPr>
                <w:p w14:paraId="01C375EC" w14:textId="77777777" w:rsidR="00344B22" w:rsidRPr="002B4E56" w:rsidRDefault="00344B22" w:rsidP="00A94F83">
                  <w:pPr>
                    <w:ind w:left="-54"/>
                    <w:jc w:val="right"/>
                    <w:rPr>
                      <w:rFonts w:eastAsia="Times New Roman"/>
                      <w:color w:val="000000"/>
                      <w:sz w:val="14"/>
                      <w:szCs w:val="14"/>
                    </w:rPr>
                  </w:pPr>
                  <w:r w:rsidRPr="002B4E56">
                    <w:rPr>
                      <w:rFonts w:eastAsia="Times New Roman"/>
                      <w:color w:val="000000"/>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ED" w14:textId="77777777" w:rsidR="00344B22" w:rsidRPr="002B4E56" w:rsidRDefault="00344B22" w:rsidP="00A94F83">
                  <w:pPr>
                    <w:rPr>
                      <w:rFonts w:eastAsia="Times New Roman"/>
                      <w:color w:val="000000"/>
                      <w:sz w:val="14"/>
                      <w:szCs w:val="14"/>
                    </w:rPr>
                  </w:pPr>
                </w:p>
              </w:tc>
            </w:tr>
          </w:tbl>
          <w:p w14:paraId="01C375EF" w14:textId="77777777" w:rsidR="00344B22" w:rsidRPr="002B4E56" w:rsidRDefault="00344B22" w:rsidP="00A94F83">
            <w:pPr>
              <w:spacing w:line="360" w:lineRule="auto"/>
              <w:jc w:val="center"/>
              <w:rPr>
                <w:rFonts w:eastAsia="Times New Roman"/>
                <w:color w:val="000000"/>
                <w:sz w:val="14"/>
                <w:szCs w:val="14"/>
              </w:rPr>
            </w:pPr>
          </w:p>
        </w:tc>
        <w:tc>
          <w:tcPr>
            <w:tcW w:w="1080" w:type="dxa"/>
            <w:vMerge w:val="restart"/>
            <w:tcBorders>
              <w:top w:val="single" w:sz="12" w:space="0" w:color="000000" w:themeColor="text1"/>
              <w:bottom w:val="single" w:sz="4" w:space="0" w:color="000000" w:themeColor="text1"/>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344B22" w:rsidRPr="002B4E56" w14:paraId="01C375F2" w14:textId="77777777" w:rsidTr="00A94F83">
              <w:trPr>
                <w:trHeight w:hRule="exact" w:val="216"/>
                <w:tblCellSpacing w:w="14" w:type="dxa"/>
              </w:trPr>
              <w:tc>
                <w:tcPr>
                  <w:tcW w:w="601" w:type="dxa"/>
                  <w:vAlign w:val="center"/>
                </w:tcPr>
                <w:p w14:paraId="01C375F0" w14:textId="77777777" w:rsidR="00344B22" w:rsidRPr="002B4E56" w:rsidRDefault="00344B22" w:rsidP="00A94F83">
                  <w:pPr>
                    <w:ind w:left="-54"/>
                    <w:jc w:val="right"/>
                    <w:rPr>
                      <w:rFonts w:eastAsia="Times New Roman"/>
                      <w:color w:val="000000"/>
                      <w:sz w:val="14"/>
                      <w:szCs w:val="14"/>
                    </w:rPr>
                  </w:pPr>
                  <w:r w:rsidRPr="002B4E56">
                    <w:rPr>
                      <w:rFonts w:eastAsia="Times New Roman"/>
                      <w:color w:val="000000"/>
                      <w:sz w:val="14"/>
                      <w:szCs w:val="14"/>
                    </w:rPr>
                    <w:t>None</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F1" w14:textId="77777777" w:rsidR="00344B22" w:rsidRPr="002B4E56" w:rsidRDefault="00344B22" w:rsidP="00A94F83">
                  <w:pPr>
                    <w:jc w:val="center"/>
                    <w:rPr>
                      <w:rFonts w:eastAsia="Times New Roman"/>
                      <w:color w:val="000000"/>
                      <w:sz w:val="14"/>
                      <w:szCs w:val="14"/>
                    </w:rPr>
                  </w:pPr>
                </w:p>
              </w:tc>
            </w:tr>
            <w:tr w:rsidR="00344B22" w:rsidRPr="002B4E56" w14:paraId="01C375F5" w14:textId="77777777" w:rsidTr="00A94F83">
              <w:trPr>
                <w:trHeight w:hRule="exact" w:val="216"/>
                <w:tblCellSpacing w:w="14" w:type="dxa"/>
              </w:trPr>
              <w:tc>
                <w:tcPr>
                  <w:tcW w:w="601" w:type="dxa"/>
                  <w:vAlign w:val="center"/>
                </w:tcPr>
                <w:p w14:paraId="01C375F3" w14:textId="77777777" w:rsidR="00344B22" w:rsidRPr="002B4E56" w:rsidRDefault="00344B22" w:rsidP="00A94F83">
                  <w:pPr>
                    <w:ind w:left="-54"/>
                    <w:jc w:val="right"/>
                    <w:rPr>
                      <w:rFonts w:eastAsia="Times New Roman"/>
                      <w:color w:val="000000"/>
                      <w:sz w:val="14"/>
                      <w:szCs w:val="14"/>
                    </w:rPr>
                  </w:pPr>
                  <w:r w:rsidRPr="002B4E56">
                    <w:rPr>
                      <w:rFonts w:eastAsia="Times New Roman"/>
                      <w:color w:val="000000"/>
                      <w:sz w:val="14"/>
                      <w:szCs w:val="14"/>
                    </w:rPr>
                    <w:t>Yes</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F4" w14:textId="77777777" w:rsidR="00344B22" w:rsidRPr="002B4E56" w:rsidRDefault="00344B22" w:rsidP="00A94F83">
                  <w:pPr>
                    <w:rPr>
                      <w:rFonts w:eastAsia="Times New Roman"/>
                      <w:color w:val="000000"/>
                      <w:sz w:val="14"/>
                      <w:szCs w:val="14"/>
                    </w:rPr>
                  </w:pPr>
                </w:p>
              </w:tc>
            </w:tr>
          </w:tbl>
          <w:p w14:paraId="01C375F6" w14:textId="77777777" w:rsidR="00344B22" w:rsidRPr="002B4E56" w:rsidRDefault="00344B22" w:rsidP="00A94F83">
            <w:pPr>
              <w:spacing w:line="360" w:lineRule="auto"/>
              <w:jc w:val="center"/>
              <w:rPr>
                <w:rFonts w:eastAsia="Times New Roman"/>
                <w:color w:val="000000"/>
                <w:sz w:val="14"/>
                <w:szCs w:val="14"/>
              </w:rPr>
            </w:pPr>
          </w:p>
        </w:tc>
        <w:tc>
          <w:tcPr>
            <w:tcW w:w="3780" w:type="dxa"/>
            <w:vMerge w:val="restart"/>
            <w:tcBorders>
              <w:top w:val="single" w:sz="12" w:space="0" w:color="000000" w:themeColor="text1"/>
              <w:bottom w:val="single" w:sz="4" w:space="0" w:color="000000" w:themeColor="text1"/>
            </w:tcBorders>
          </w:tcPr>
          <w:p w14:paraId="01C375F7" w14:textId="77777777" w:rsidR="00344B22" w:rsidRPr="00CF2D28" w:rsidRDefault="00344B22" w:rsidP="00170A32">
            <w:pPr>
              <w:spacing w:line="360" w:lineRule="auto"/>
              <w:rPr>
                <w:sz w:val="18"/>
                <w:szCs w:val="20"/>
              </w:rPr>
            </w:pPr>
          </w:p>
        </w:tc>
        <w:tc>
          <w:tcPr>
            <w:tcW w:w="720" w:type="dxa"/>
            <w:vMerge w:val="restart"/>
            <w:tcBorders>
              <w:top w:val="single" w:sz="12" w:space="0" w:color="000000" w:themeColor="text1"/>
              <w:bottom w:val="single" w:sz="4" w:space="0" w:color="000000" w:themeColor="text1"/>
              <w:right w:val="single" w:sz="12" w:space="0" w:color="000000" w:themeColor="text1"/>
            </w:tcBorders>
          </w:tcPr>
          <w:p w14:paraId="01C375F8" w14:textId="77777777" w:rsidR="00344B22" w:rsidRPr="00CF2D28" w:rsidRDefault="00344B22" w:rsidP="00170A32">
            <w:pPr>
              <w:spacing w:line="360" w:lineRule="auto"/>
              <w:rPr>
                <w:sz w:val="18"/>
                <w:szCs w:val="20"/>
              </w:rPr>
            </w:pPr>
          </w:p>
        </w:tc>
      </w:tr>
      <w:tr w:rsidR="002C158F" w:rsidRPr="002B4E56" w14:paraId="01C37602" w14:textId="77777777" w:rsidTr="00030736">
        <w:trPr>
          <w:trHeight w:val="472"/>
        </w:trPr>
        <w:tc>
          <w:tcPr>
            <w:tcW w:w="1998" w:type="dxa"/>
            <w:tcBorders>
              <w:top w:val="dashed" w:sz="4" w:space="0" w:color="auto"/>
              <w:left w:val="single" w:sz="12" w:space="0" w:color="000000" w:themeColor="text1"/>
              <w:bottom w:val="single" w:sz="12" w:space="0" w:color="000000" w:themeColor="text1"/>
            </w:tcBorders>
          </w:tcPr>
          <w:p w14:paraId="01C375FA" w14:textId="77777777" w:rsidR="002C158F" w:rsidRPr="00921365" w:rsidRDefault="002C158F" w:rsidP="00170A32">
            <w:pPr>
              <w:spacing w:line="360" w:lineRule="auto"/>
              <w:rPr>
                <w:sz w:val="18"/>
                <w:szCs w:val="20"/>
              </w:rPr>
            </w:pPr>
          </w:p>
        </w:tc>
        <w:tc>
          <w:tcPr>
            <w:tcW w:w="2520" w:type="dxa"/>
            <w:vMerge/>
            <w:tcBorders>
              <w:top w:val="single" w:sz="4" w:space="0" w:color="000000" w:themeColor="text1"/>
              <w:bottom w:val="single" w:sz="12" w:space="0" w:color="000000" w:themeColor="text1"/>
            </w:tcBorders>
          </w:tcPr>
          <w:p w14:paraId="01C375FB" w14:textId="77777777" w:rsidR="002C158F" w:rsidRPr="002D51CF" w:rsidRDefault="002C158F" w:rsidP="00170A32">
            <w:pPr>
              <w:spacing w:line="360" w:lineRule="auto"/>
              <w:rPr>
                <w:sz w:val="20"/>
                <w:szCs w:val="20"/>
              </w:rPr>
            </w:pPr>
          </w:p>
        </w:tc>
        <w:tc>
          <w:tcPr>
            <w:tcW w:w="810" w:type="dxa"/>
            <w:vMerge/>
            <w:tcBorders>
              <w:top w:val="single" w:sz="4" w:space="0" w:color="000000" w:themeColor="text1"/>
              <w:bottom w:val="single" w:sz="12" w:space="0" w:color="000000" w:themeColor="text1"/>
            </w:tcBorders>
          </w:tcPr>
          <w:p w14:paraId="01C375FC" w14:textId="77777777" w:rsidR="002C158F" w:rsidRPr="002D51CF" w:rsidRDefault="002C158F" w:rsidP="00170A32">
            <w:pPr>
              <w:spacing w:before="120" w:line="360" w:lineRule="auto"/>
              <w:jc w:val="right"/>
              <w:rPr>
                <w:rFonts w:eastAsia="Times New Roman"/>
                <w:color w:val="000000"/>
                <w:sz w:val="20"/>
                <w:szCs w:val="20"/>
              </w:rPr>
            </w:pPr>
          </w:p>
        </w:tc>
        <w:tc>
          <w:tcPr>
            <w:tcW w:w="1080" w:type="dxa"/>
            <w:vMerge/>
            <w:tcBorders>
              <w:top w:val="single" w:sz="4" w:space="0" w:color="000000" w:themeColor="text1"/>
              <w:bottom w:val="single" w:sz="12" w:space="0" w:color="000000" w:themeColor="text1"/>
            </w:tcBorders>
          </w:tcPr>
          <w:p w14:paraId="01C375FD" w14:textId="77777777" w:rsidR="002C158F" w:rsidRPr="002B4E56" w:rsidRDefault="002C158F" w:rsidP="00170A32">
            <w:pPr>
              <w:spacing w:before="120" w:line="360" w:lineRule="auto"/>
              <w:jc w:val="right"/>
              <w:rPr>
                <w:rFonts w:eastAsia="Times New Roman"/>
                <w:color w:val="000000"/>
                <w:sz w:val="14"/>
                <w:szCs w:val="14"/>
              </w:rPr>
            </w:pPr>
          </w:p>
        </w:tc>
        <w:tc>
          <w:tcPr>
            <w:tcW w:w="1170" w:type="dxa"/>
            <w:vMerge/>
            <w:tcBorders>
              <w:top w:val="single" w:sz="4" w:space="0" w:color="000000" w:themeColor="text1"/>
              <w:bottom w:val="single" w:sz="12" w:space="0" w:color="000000" w:themeColor="text1"/>
            </w:tcBorders>
          </w:tcPr>
          <w:p w14:paraId="01C375FE" w14:textId="77777777" w:rsidR="002C158F" w:rsidRPr="002B4E56" w:rsidRDefault="002C158F" w:rsidP="00170A32">
            <w:pPr>
              <w:spacing w:line="360" w:lineRule="auto"/>
              <w:jc w:val="right"/>
              <w:rPr>
                <w:rFonts w:eastAsia="Times New Roman"/>
                <w:color w:val="000000"/>
                <w:sz w:val="14"/>
                <w:szCs w:val="14"/>
              </w:rPr>
            </w:pPr>
          </w:p>
        </w:tc>
        <w:tc>
          <w:tcPr>
            <w:tcW w:w="1080" w:type="dxa"/>
            <w:vMerge/>
            <w:tcBorders>
              <w:top w:val="single" w:sz="4" w:space="0" w:color="000000" w:themeColor="text1"/>
              <w:bottom w:val="single" w:sz="12" w:space="0" w:color="000000" w:themeColor="text1"/>
            </w:tcBorders>
          </w:tcPr>
          <w:p w14:paraId="01C375FF" w14:textId="77777777" w:rsidR="002C158F" w:rsidRPr="002B4E56" w:rsidRDefault="002C158F" w:rsidP="00170A32">
            <w:pPr>
              <w:spacing w:line="360" w:lineRule="auto"/>
              <w:jc w:val="right"/>
              <w:rPr>
                <w:rFonts w:eastAsia="Times New Roman"/>
                <w:color w:val="000000"/>
                <w:sz w:val="14"/>
                <w:szCs w:val="14"/>
              </w:rPr>
            </w:pPr>
          </w:p>
        </w:tc>
        <w:tc>
          <w:tcPr>
            <w:tcW w:w="3780" w:type="dxa"/>
            <w:vMerge/>
            <w:tcBorders>
              <w:top w:val="single" w:sz="4" w:space="0" w:color="000000" w:themeColor="text1"/>
              <w:bottom w:val="single" w:sz="12" w:space="0" w:color="000000" w:themeColor="text1"/>
            </w:tcBorders>
          </w:tcPr>
          <w:p w14:paraId="01C37600" w14:textId="77777777" w:rsidR="002C158F" w:rsidRPr="002B4E56" w:rsidRDefault="002C158F" w:rsidP="00170A32">
            <w:pPr>
              <w:spacing w:line="360" w:lineRule="auto"/>
              <w:rPr>
                <w:sz w:val="14"/>
                <w:szCs w:val="14"/>
              </w:rPr>
            </w:pPr>
          </w:p>
        </w:tc>
        <w:tc>
          <w:tcPr>
            <w:tcW w:w="720" w:type="dxa"/>
            <w:vMerge/>
            <w:tcBorders>
              <w:top w:val="single" w:sz="4" w:space="0" w:color="000000" w:themeColor="text1"/>
              <w:bottom w:val="single" w:sz="12" w:space="0" w:color="000000" w:themeColor="text1"/>
              <w:right w:val="single" w:sz="12" w:space="0" w:color="000000" w:themeColor="text1"/>
            </w:tcBorders>
          </w:tcPr>
          <w:p w14:paraId="01C37601" w14:textId="77777777" w:rsidR="002C158F" w:rsidRPr="002B4E56" w:rsidRDefault="002C158F" w:rsidP="00170A32">
            <w:pPr>
              <w:spacing w:line="360" w:lineRule="auto"/>
              <w:rPr>
                <w:sz w:val="14"/>
                <w:szCs w:val="14"/>
              </w:rPr>
            </w:pPr>
          </w:p>
        </w:tc>
      </w:tr>
    </w:tbl>
    <w:p w14:paraId="01C37603" w14:textId="669EB4E2" w:rsidR="00EF2DC0" w:rsidRPr="002B4E56" w:rsidRDefault="00EF2DC0" w:rsidP="004E2686">
      <w:pPr>
        <w:spacing w:before="240"/>
        <w:rPr>
          <w:rFonts w:eastAsia="MS PGothic"/>
          <w:kern w:val="2"/>
          <w:sz w:val="14"/>
          <w:szCs w:val="14"/>
          <w:lang w:eastAsia="ja-JP"/>
        </w:rPr>
      </w:pPr>
    </w:p>
    <w:sectPr w:rsidR="00EF2DC0" w:rsidRPr="002B4E56" w:rsidSect="007239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B6505" w14:textId="77777777" w:rsidR="002D148B" w:rsidRDefault="002D148B" w:rsidP="00161C8B">
      <w:pPr>
        <w:spacing w:after="0" w:line="240" w:lineRule="auto"/>
      </w:pPr>
      <w:r>
        <w:separator/>
      </w:r>
    </w:p>
  </w:endnote>
  <w:endnote w:type="continuationSeparator" w:id="0">
    <w:p w14:paraId="60106168" w14:textId="77777777" w:rsidR="002D148B" w:rsidRDefault="002D148B" w:rsidP="0016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PGothic">
    <w:altName w:val="Arial Unicode MS"/>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N W3">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Look w:val="04A0" w:firstRow="1" w:lastRow="0" w:firstColumn="1" w:lastColumn="0" w:noHBand="0" w:noVBand="1"/>
    </w:tblPr>
    <w:tblGrid>
      <w:gridCol w:w="3119"/>
      <w:gridCol w:w="2911"/>
      <w:gridCol w:w="3330"/>
    </w:tblGrid>
    <w:tr w:rsidR="007C7A31" w:rsidRPr="0083299A" w14:paraId="01C37610" w14:textId="77777777" w:rsidTr="001A536D">
      <w:trPr>
        <w:jc w:val="center"/>
      </w:trPr>
      <w:tc>
        <w:tcPr>
          <w:tcW w:w="3119" w:type="dxa"/>
          <w:tcBorders>
            <w:top w:val="nil"/>
            <w:left w:val="nil"/>
            <w:right w:val="nil"/>
          </w:tcBorders>
          <w:vAlign w:val="center"/>
        </w:tcPr>
        <w:p w14:paraId="01C3760D" w14:textId="77777777" w:rsidR="007C7A31" w:rsidRPr="0083299A" w:rsidRDefault="007C7A31" w:rsidP="002F4753">
          <w:pPr>
            <w:pStyle w:val="Footer"/>
            <w:jc w:val="center"/>
            <w:rPr>
              <w:sz w:val="18"/>
              <w:szCs w:val="18"/>
            </w:rPr>
          </w:pPr>
        </w:p>
      </w:tc>
      <w:tc>
        <w:tcPr>
          <w:tcW w:w="2911" w:type="dxa"/>
          <w:tcBorders>
            <w:top w:val="nil"/>
            <w:left w:val="nil"/>
            <w:right w:val="nil"/>
          </w:tcBorders>
          <w:vAlign w:val="center"/>
        </w:tcPr>
        <w:p w14:paraId="01C3760E" w14:textId="77777777" w:rsidR="007C7A31" w:rsidRPr="0083299A" w:rsidRDefault="007C7A31" w:rsidP="002F4753">
          <w:pPr>
            <w:jc w:val="center"/>
          </w:pPr>
        </w:p>
      </w:tc>
      <w:tc>
        <w:tcPr>
          <w:tcW w:w="3330" w:type="dxa"/>
          <w:tcBorders>
            <w:top w:val="nil"/>
            <w:left w:val="nil"/>
            <w:right w:val="nil"/>
          </w:tcBorders>
          <w:vAlign w:val="center"/>
        </w:tcPr>
        <w:p w14:paraId="01C3760F" w14:textId="77777777" w:rsidR="007C7A31" w:rsidRPr="0083299A" w:rsidRDefault="007C7A31" w:rsidP="002F4753">
          <w:pPr>
            <w:pStyle w:val="Footer"/>
            <w:jc w:val="center"/>
            <w:rPr>
              <w:sz w:val="18"/>
              <w:szCs w:val="18"/>
            </w:rPr>
          </w:pPr>
        </w:p>
      </w:tc>
    </w:tr>
    <w:tr w:rsidR="007C7A31" w:rsidRPr="0083299A" w14:paraId="01C37615" w14:textId="77777777" w:rsidTr="001A536D">
      <w:trPr>
        <w:jc w:val="center"/>
      </w:trPr>
      <w:tc>
        <w:tcPr>
          <w:tcW w:w="3119" w:type="dxa"/>
          <w:vAlign w:val="center"/>
        </w:tcPr>
        <w:p w14:paraId="01C37611" w14:textId="20DB29A4" w:rsidR="007C7A31" w:rsidRPr="008A1B7C" w:rsidRDefault="007C7A31" w:rsidP="002F4753">
          <w:pPr>
            <w:pStyle w:val="Footer"/>
            <w:jc w:val="center"/>
            <w:rPr>
              <w:color w:val="000000" w:themeColor="text1"/>
              <w:sz w:val="18"/>
              <w:szCs w:val="18"/>
            </w:rPr>
          </w:pPr>
          <w:r w:rsidRPr="008A1B7C">
            <w:rPr>
              <w:color w:val="000000" w:themeColor="text1"/>
              <w:sz w:val="18"/>
              <w:szCs w:val="18"/>
            </w:rPr>
            <w:t>Revision</w:t>
          </w:r>
          <w:r w:rsidRPr="00EF11F7">
            <w:rPr>
              <w:color w:val="000000" w:themeColor="text1"/>
              <w:sz w:val="18"/>
              <w:szCs w:val="18"/>
            </w:rPr>
            <w:t xml:space="preserve">: </w:t>
          </w:r>
          <w:r>
            <w:rPr>
              <w:color w:val="000000" w:themeColor="text1"/>
              <w:sz w:val="18"/>
              <w:szCs w:val="18"/>
            </w:rPr>
            <w:t>AC</w:t>
          </w:r>
          <w:r w:rsidRPr="00EF11F7">
            <w:rPr>
              <w:color w:val="000000" w:themeColor="text1"/>
              <w:sz w:val="18"/>
              <w:szCs w:val="18"/>
            </w:rPr>
            <w:t xml:space="preserve">. </w:t>
          </w:r>
          <w:r>
            <w:rPr>
              <w:color w:val="000000" w:themeColor="text1"/>
              <w:sz w:val="18"/>
              <w:szCs w:val="18"/>
            </w:rPr>
            <w:t>April 22, 2021</w:t>
          </w:r>
        </w:p>
      </w:tc>
      <w:tc>
        <w:tcPr>
          <w:tcW w:w="2911" w:type="dxa"/>
          <w:vAlign w:val="center"/>
        </w:tcPr>
        <w:sdt>
          <w:sdtPr>
            <w:id w:val="-1417005357"/>
            <w:docPartObj>
              <w:docPartGallery w:val="Page Numbers (Top of Page)"/>
              <w:docPartUnique/>
            </w:docPartObj>
          </w:sdtPr>
          <w:sdtContent>
            <w:p w14:paraId="01C37612" w14:textId="3A82B604" w:rsidR="007C7A31" w:rsidRPr="002F4753" w:rsidRDefault="007C7A31" w:rsidP="002F4753">
              <w:pPr>
                <w:jc w:val="center"/>
              </w:pPr>
              <w:r w:rsidRPr="0083299A">
                <w:t xml:space="preserve">Page </w:t>
              </w:r>
              <w:r>
                <w:fldChar w:fldCharType="begin"/>
              </w:r>
              <w:r>
                <w:instrText xml:space="preserve"> PAGE </w:instrText>
              </w:r>
              <w:r>
                <w:fldChar w:fldCharType="separate"/>
              </w:r>
              <w:r w:rsidR="006B0E13">
                <w:rPr>
                  <w:noProof/>
                </w:rPr>
                <w:t>18</w:t>
              </w:r>
              <w:r>
                <w:rPr>
                  <w:noProof/>
                </w:rPr>
                <w:fldChar w:fldCharType="end"/>
              </w:r>
              <w:r w:rsidRPr="0083299A">
                <w:t xml:space="preserve"> of </w:t>
              </w:r>
              <w:fldSimple w:instr=" NUMPAGES  ">
                <w:r w:rsidR="006B0E13">
                  <w:rPr>
                    <w:noProof/>
                  </w:rPr>
                  <w:t>18</w:t>
                </w:r>
              </w:fldSimple>
            </w:p>
          </w:sdtContent>
        </w:sdt>
      </w:tc>
      <w:tc>
        <w:tcPr>
          <w:tcW w:w="3330" w:type="dxa"/>
          <w:vAlign w:val="center"/>
        </w:tcPr>
        <w:p w14:paraId="01C37613" w14:textId="77777777" w:rsidR="007C7A31" w:rsidRPr="0083299A" w:rsidRDefault="007C7A31" w:rsidP="002F4753">
          <w:pPr>
            <w:pStyle w:val="Footer"/>
            <w:jc w:val="center"/>
            <w:rPr>
              <w:sz w:val="18"/>
              <w:szCs w:val="18"/>
            </w:rPr>
          </w:pPr>
          <w:r w:rsidRPr="0083299A">
            <w:rPr>
              <w:sz w:val="18"/>
              <w:szCs w:val="18"/>
            </w:rPr>
            <w:t>Uncontrolled when printed</w:t>
          </w:r>
        </w:p>
        <w:p w14:paraId="01C37614" w14:textId="77777777" w:rsidR="007C7A31" w:rsidRPr="0083299A" w:rsidRDefault="007C7A31" w:rsidP="002F4753">
          <w:pPr>
            <w:pStyle w:val="Footer"/>
            <w:jc w:val="center"/>
            <w:rPr>
              <w:sz w:val="18"/>
              <w:szCs w:val="18"/>
            </w:rPr>
          </w:pPr>
          <w:r w:rsidRPr="0083299A">
            <w:rPr>
              <w:sz w:val="18"/>
              <w:szCs w:val="18"/>
            </w:rPr>
            <w:t>Unauthorized reproduction prohibited</w:t>
          </w:r>
        </w:p>
      </w:tc>
    </w:tr>
  </w:tbl>
  <w:p w14:paraId="01C37616" w14:textId="77777777" w:rsidR="007C7A31" w:rsidRDefault="007C7A31" w:rsidP="00F71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B9A0D" w14:textId="77777777" w:rsidR="002D148B" w:rsidRDefault="002D148B" w:rsidP="00161C8B">
      <w:pPr>
        <w:spacing w:after="0" w:line="240" w:lineRule="auto"/>
      </w:pPr>
      <w:r>
        <w:separator/>
      </w:r>
    </w:p>
  </w:footnote>
  <w:footnote w:type="continuationSeparator" w:id="0">
    <w:p w14:paraId="02A10B9A" w14:textId="77777777" w:rsidR="002D148B" w:rsidRDefault="002D148B" w:rsidP="00161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7672"/>
    </w:tblGrid>
    <w:tr w:rsidR="007C7A31" w14:paraId="01C3760A" w14:textId="77777777" w:rsidTr="0083299A">
      <w:trPr>
        <w:jc w:val="center"/>
      </w:trPr>
      <w:tc>
        <w:tcPr>
          <w:tcW w:w="1728" w:type="dxa"/>
        </w:tcPr>
        <w:p w14:paraId="01C37608" w14:textId="256CE389" w:rsidR="007C7A31" w:rsidRDefault="007C7A31" w:rsidP="002402CA">
          <w:pPr>
            <w:pStyle w:val="Header"/>
          </w:pPr>
          <w:r>
            <w:rPr>
              <w:noProof/>
              <w:szCs w:val="20"/>
            </w:rPr>
            <w:drawing>
              <wp:anchor distT="0" distB="0" distL="114300" distR="114300" simplePos="0" relativeHeight="251657216" behindDoc="0" locked="0" layoutInCell="1" allowOverlap="1" wp14:anchorId="69979587" wp14:editId="1994A68B">
                <wp:simplePos x="0" y="0"/>
                <wp:positionH relativeFrom="column">
                  <wp:posOffset>-66675</wp:posOffset>
                </wp:positionH>
                <wp:positionV relativeFrom="paragraph">
                  <wp:posOffset>-85725</wp:posOffset>
                </wp:positionV>
                <wp:extent cx="950976" cy="493776"/>
                <wp:effectExtent l="0" t="0" r="1905" b="1905"/>
                <wp:wrapNone/>
                <wp:docPr id="3" name="Picture 3" descr="XR-P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R-P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976" cy="49377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48" w:type="dxa"/>
        </w:tcPr>
        <w:p w14:paraId="01C37609" w14:textId="77777777" w:rsidR="007C7A31" w:rsidRPr="006804CF" w:rsidRDefault="007C7A31" w:rsidP="00C20A43">
          <w:pPr>
            <w:pStyle w:val="Header"/>
            <w:ind w:left="-108"/>
            <w:jc w:val="center"/>
          </w:pPr>
          <w:r w:rsidRPr="0006474D">
            <w:rPr>
              <w:sz w:val="20"/>
            </w:rPr>
            <w:t>ENV70 – Global Product and Component Specification for the Environment (GPCSE)</w:t>
          </w:r>
        </w:p>
      </w:tc>
    </w:tr>
  </w:tbl>
  <w:p w14:paraId="01C3760B" w14:textId="77777777" w:rsidR="007C7A31" w:rsidRDefault="007C7A31" w:rsidP="0083299A">
    <w:pPr>
      <w:pStyle w:val="Header"/>
    </w:pPr>
  </w:p>
  <w:p w14:paraId="01C3760C" w14:textId="77777777" w:rsidR="007C7A31" w:rsidRPr="0083299A" w:rsidRDefault="007C7A31" w:rsidP="00832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9C422D4"/>
    <w:lvl w:ilvl="0">
      <w:numFmt w:val="bullet"/>
      <w:lvlText w:val="*"/>
      <w:lvlJc w:val="left"/>
    </w:lvl>
  </w:abstractNum>
  <w:abstractNum w:abstractNumId="1" w15:restartNumberingAfterBreak="0">
    <w:nsid w:val="006D7649"/>
    <w:multiLevelType w:val="multilevel"/>
    <w:tmpl w:val="52D62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3700C"/>
    <w:multiLevelType w:val="hybridMultilevel"/>
    <w:tmpl w:val="923C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06569"/>
    <w:multiLevelType w:val="hybridMultilevel"/>
    <w:tmpl w:val="7E089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1D26EC"/>
    <w:multiLevelType w:val="hybridMultilevel"/>
    <w:tmpl w:val="223A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84413"/>
    <w:multiLevelType w:val="hybridMultilevel"/>
    <w:tmpl w:val="83A60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256220"/>
    <w:multiLevelType w:val="hybridMultilevel"/>
    <w:tmpl w:val="425C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40D2A"/>
    <w:multiLevelType w:val="hybridMultilevel"/>
    <w:tmpl w:val="9306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508A9"/>
    <w:multiLevelType w:val="hybridMultilevel"/>
    <w:tmpl w:val="E8F8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A6C43"/>
    <w:multiLevelType w:val="hybridMultilevel"/>
    <w:tmpl w:val="20F8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0540D9"/>
    <w:multiLevelType w:val="hybridMultilevel"/>
    <w:tmpl w:val="EDEE7774"/>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D27843"/>
    <w:multiLevelType w:val="hybridMultilevel"/>
    <w:tmpl w:val="AAD8C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5453EF"/>
    <w:multiLevelType w:val="hybridMultilevel"/>
    <w:tmpl w:val="66B82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7A377F"/>
    <w:multiLevelType w:val="hybridMultilevel"/>
    <w:tmpl w:val="FE62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BB4D80"/>
    <w:multiLevelType w:val="hybridMultilevel"/>
    <w:tmpl w:val="FFBEB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5C6358"/>
    <w:multiLevelType w:val="hybridMultilevel"/>
    <w:tmpl w:val="C6044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B67877"/>
    <w:multiLevelType w:val="hybridMultilevel"/>
    <w:tmpl w:val="7402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D10C3"/>
    <w:multiLevelType w:val="hybridMultilevel"/>
    <w:tmpl w:val="5C7A2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C3CC5"/>
    <w:multiLevelType w:val="hybridMultilevel"/>
    <w:tmpl w:val="0AF2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409BF"/>
    <w:multiLevelType w:val="hybridMultilevel"/>
    <w:tmpl w:val="5C7A24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4B2BC1"/>
    <w:multiLevelType w:val="hybridMultilevel"/>
    <w:tmpl w:val="A0C63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5D0F41"/>
    <w:multiLevelType w:val="hybridMultilevel"/>
    <w:tmpl w:val="B4ACC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457950"/>
    <w:multiLevelType w:val="hybridMultilevel"/>
    <w:tmpl w:val="7EF6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3B2BE2"/>
    <w:multiLevelType w:val="hybridMultilevel"/>
    <w:tmpl w:val="8F5AECB8"/>
    <w:lvl w:ilvl="0" w:tplc="02BE6E3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057045"/>
    <w:multiLevelType w:val="hybridMultilevel"/>
    <w:tmpl w:val="9ABED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960450"/>
    <w:multiLevelType w:val="hybridMultilevel"/>
    <w:tmpl w:val="408C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B9423F"/>
    <w:multiLevelType w:val="hybridMultilevel"/>
    <w:tmpl w:val="3F68C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7E17E0"/>
    <w:multiLevelType w:val="hybridMultilevel"/>
    <w:tmpl w:val="5E48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F43D66"/>
    <w:multiLevelType w:val="hybridMultilevel"/>
    <w:tmpl w:val="54887D56"/>
    <w:lvl w:ilvl="0" w:tplc="50DA262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CA1AA5"/>
    <w:multiLevelType w:val="hybridMultilevel"/>
    <w:tmpl w:val="AE5EC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3A6DB9"/>
    <w:multiLevelType w:val="hybridMultilevel"/>
    <w:tmpl w:val="6034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3E7F02"/>
    <w:multiLevelType w:val="hybridMultilevel"/>
    <w:tmpl w:val="9860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8A30FE"/>
    <w:multiLevelType w:val="hybridMultilevel"/>
    <w:tmpl w:val="8D50A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C078E"/>
    <w:multiLevelType w:val="hybridMultilevel"/>
    <w:tmpl w:val="EA92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1F7C42"/>
    <w:multiLevelType w:val="hybridMultilevel"/>
    <w:tmpl w:val="A2A8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243A59"/>
    <w:multiLevelType w:val="hybridMultilevel"/>
    <w:tmpl w:val="4B16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BC6F08"/>
    <w:multiLevelType w:val="hybridMultilevel"/>
    <w:tmpl w:val="9702CF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8D34E93"/>
    <w:multiLevelType w:val="hybridMultilevel"/>
    <w:tmpl w:val="5AC0F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8E5C75"/>
    <w:multiLevelType w:val="hybridMultilevel"/>
    <w:tmpl w:val="7E089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102B9D"/>
    <w:multiLevelType w:val="hybridMultilevel"/>
    <w:tmpl w:val="D396A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CD515DB"/>
    <w:multiLevelType w:val="hybridMultilevel"/>
    <w:tmpl w:val="39F01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7F57F53"/>
    <w:multiLevelType w:val="hybridMultilevel"/>
    <w:tmpl w:val="CFD2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60079A"/>
    <w:multiLevelType w:val="hybridMultilevel"/>
    <w:tmpl w:val="C206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1D04DA"/>
    <w:multiLevelType w:val="hybridMultilevel"/>
    <w:tmpl w:val="B7D84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EC72A36"/>
    <w:multiLevelType w:val="hybridMultilevel"/>
    <w:tmpl w:val="C51EAE8C"/>
    <w:lvl w:ilvl="0" w:tplc="65A61BE8">
      <w:start w:val="1"/>
      <w:numFmt w:val="bullet"/>
      <w:pStyle w:val="s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3051EE"/>
    <w:multiLevelType w:val="hybridMultilevel"/>
    <w:tmpl w:val="A1DAC4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5F20A75"/>
    <w:multiLevelType w:val="hybridMultilevel"/>
    <w:tmpl w:val="97DC5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C01138F"/>
    <w:multiLevelType w:val="hybridMultilevel"/>
    <w:tmpl w:val="3454CEC2"/>
    <w:lvl w:ilvl="0" w:tplc="F6E8EEA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CA6FC5"/>
    <w:multiLevelType w:val="multilevel"/>
    <w:tmpl w:val="5C56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F9396E"/>
    <w:multiLevelType w:val="hybridMultilevel"/>
    <w:tmpl w:val="D182D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8"/>
  </w:num>
  <w:num w:numId="2">
    <w:abstractNumId w:val="32"/>
  </w:num>
  <w:num w:numId="3">
    <w:abstractNumId w:val="31"/>
  </w:num>
  <w:num w:numId="4">
    <w:abstractNumId w:val="13"/>
  </w:num>
  <w:num w:numId="5">
    <w:abstractNumId w:val="44"/>
  </w:num>
  <w:num w:numId="6">
    <w:abstractNumId w:val="40"/>
  </w:num>
  <w:num w:numId="7">
    <w:abstractNumId w:val="21"/>
  </w:num>
  <w:num w:numId="8">
    <w:abstractNumId w:val="33"/>
  </w:num>
  <w:num w:numId="9">
    <w:abstractNumId w:val="47"/>
  </w:num>
  <w:num w:numId="10">
    <w:abstractNumId w:val="35"/>
  </w:num>
  <w:num w:numId="11">
    <w:abstractNumId w:val="6"/>
  </w:num>
  <w:num w:numId="12">
    <w:abstractNumId w:val="7"/>
  </w:num>
  <w:num w:numId="13">
    <w:abstractNumId w:val="2"/>
  </w:num>
  <w:num w:numId="14">
    <w:abstractNumId w:val="9"/>
  </w:num>
  <w:num w:numId="15">
    <w:abstractNumId w:val="23"/>
  </w:num>
  <w:num w:numId="16">
    <w:abstractNumId w:val="10"/>
  </w:num>
  <w:num w:numId="17">
    <w:abstractNumId w:val="41"/>
  </w:num>
  <w:num w:numId="18">
    <w:abstractNumId w:val="25"/>
  </w:num>
  <w:num w:numId="19">
    <w:abstractNumId w:val="42"/>
  </w:num>
  <w:num w:numId="20">
    <w:abstractNumId w:val="16"/>
  </w:num>
  <w:num w:numId="21">
    <w:abstractNumId w:val="30"/>
  </w:num>
  <w:num w:numId="22">
    <w:abstractNumId w:val="8"/>
  </w:num>
  <w:num w:numId="23">
    <w:abstractNumId w:val="34"/>
  </w:num>
  <w:num w:numId="24">
    <w:abstractNumId w:val="27"/>
  </w:num>
  <w:num w:numId="25">
    <w:abstractNumId w:val="15"/>
  </w:num>
  <w:num w:numId="26">
    <w:abstractNumId w:val="49"/>
  </w:num>
  <w:num w:numId="27">
    <w:abstractNumId w:val="28"/>
  </w:num>
  <w:num w:numId="28">
    <w:abstractNumId w:val="18"/>
  </w:num>
  <w:num w:numId="29">
    <w:abstractNumId w:val="20"/>
  </w:num>
  <w:num w:numId="30">
    <w:abstractNumId w:val="3"/>
  </w:num>
  <w:num w:numId="31">
    <w:abstractNumId w:val="38"/>
  </w:num>
  <w:num w:numId="32">
    <w:abstractNumId w:val="0"/>
    <w:lvlOverride w:ilvl="0">
      <w:lvl w:ilvl="0">
        <w:numFmt w:val="bullet"/>
        <w:lvlText w:val=""/>
        <w:legacy w:legacy="1" w:legacySpace="0" w:legacyIndent="0"/>
        <w:lvlJc w:val="left"/>
        <w:rPr>
          <w:rFonts w:ascii="Symbol" w:hAnsi="Symbol" w:hint="default"/>
        </w:rPr>
      </w:lvl>
    </w:lvlOverride>
  </w:num>
  <w:num w:numId="33">
    <w:abstractNumId w:val="5"/>
  </w:num>
  <w:num w:numId="34">
    <w:abstractNumId w:val="43"/>
  </w:num>
  <w:num w:numId="35">
    <w:abstractNumId w:val="45"/>
  </w:num>
  <w:num w:numId="36">
    <w:abstractNumId w:val="37"/>
  </w:num>
  <w:num w:numId="37">
    <w:abstractNumId w:val="17"/>
  </w:num>
  <w:num w:numId="38">
    <w:abstractNumId w:val="19"/>
  </w:num>
  <w:num w:numId="39">
    <w:abstractNumId w:val="22"/>
  </w:num>
  <w:num w:numId="40">
    <w:abstractNumId w:val="11"/>
  </w:num>
  <w:num w:numId="41">
    <w:abstractNumId w:val="36"/>
  </w:num>
  <w:num w:numId="42">
    <w:abstractNumId w:val="4"/>
  </w:num>
  <w:num w:numId="43">
    <w:abstractNumId w:val="1"/>
  </w:num>
  <w:num w:numId="44">
    <w:abstractNumId w:val="12"/>
  </w:num>
  <w:num w:numId="45">
    <w:abstractNumId w:val="24"/>
  </w:num>
  <w:num w:numId="46">
    <w:abstractNumId w:val="39"/>
  </w:num>
  <w:num w:numId="47">
    <w:abstractNumId w:val="29"/>
  </w:num>
  <w:num w:numId="48">
    <w:abstractNumId w:val="46"/>
  </w:num>
  <w:num w:numId="49">
    <w:abstractNumId w:val="14"/>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8B"/>
    <w:rsid w:val="0000750A"/>
    <w:rsid w:val="000167F9"/>
    <w:rsid w:val="0002281B"/>
    <w:rsid w:val="0002378E"/>
    <w:rsid w:val="00023A8E"/>
    <w:rsid w:val="00023E82"/>
    <w:rsid w:val="00025A7A"/>
    <w:rsid w:val="00026995"/>
    <w:rsid w:val="00030649"/>
    <w:rsid w:val="00030736"/>
    <w:rsid w:val="00030D60"/>
    <w:rsid w:val="00037E6E"/>
    <w:rsid w:val="000406D7"/>
    <w:rsid w:val="000437EE"/>
    <w:rsid w:val="00044603"/>
    <w:rsid w:val="000510A8"/>
    <w:rsid w:val="000524BD"/>
    <w:rsid w:val="00056553"/>
    <w:rsid w:val="00061029"/>
    <w:rsid w:val="0006474D"/>
    <w:rsid w:val="00065324"/>
    <w:rsid w:val="00065442"/>
    <w:rsid w:val="00072858"/>
    <w:rsid w:val="000747D9"/>
    <w:rsid w:val="000771FF"/>
    <w:rsid w:val="00080143"/>
    <w:rsid w:val="00080903"/>
    <w:rsid w:val="00081DEF"/>
    <w:rsid w:val="0008314E"/>
    <w:rsid w:val="00084390"/>
    <w:rsid w:val="00085CAB"/>
    <w:rsid w:val="00092523"/>
    <w:rsid w:val="00094E4C"/>
    <w:rsid w:val="00095DCD"/>
    <w:rsid w:val="000A5DE2"/>
    <w:rsid w:val="000A7A3D"/>
    <w:rsid w:val="000B03B0"/>
    <w:rsid w:val="000B290D"/>
    <w:rsid w:val="000B5A74"/>
    <w:rsid w:val="000B5B97"/>
    <w:rsid w:val="000C0F11"/>
    <w:rsid w:val="000C4417"/>
    <w:rsid w:val="000C6EA3"/>
    <w:rsid w:val="000D13C4"/>
    <w:rsid w:val="000D15DF"/>
    <w:rsid w:val="000D218D"/>
    <w:rsid w:val="000D7BE7"/>
    <w:rsid w:val="000D7DE1"/>
    <w:rsid w:val="000E4BA5"/>
    <w:rsid w:val="000F2329"/>
    <w:rsid w:val="000F2AC8"/>
    <w:rsid w:val="000F5C9E"/>
    <w:rsid w:val="00100203"/>
    <w:rsid w:val="00100D7D"/>
    <w:rsid w:val="001024EC"/>
    <w:rsid w:val="0010268E"/>
    <w:rsid w:val="001046F9"/>
    <w:rsid w:val="00106A19"/>
    <w:rsid w:val="00107BC5"/>
    <w:rsid w:val="001107EB"/>
    <w:rsid w:val="00110917"/>
    <w:rsid w:val="001114E9"/>
    <w:rsid w:val="00122661"/>
    <w:rsid w:val="00124F2C"/>
    <w:rsid w:val="00126EFD"/>
    <w:rsid w:val="001279B8"/>
    <w:rsid w:val="00131411"/>
    <w:rsid w:val="00135E90"/>
    <w:rsid w:val="00143CD5"/>
    <w:rsid w:val="00144B6D"/>
    <w:rsid w:val="00146DB3"/>
    <w:rsid w:val="00150D59"/>
    <w:rsid w:val="00154269"/>
    <w:rsid w:val="001571DE"/>
    <w:rsid w:val="00157C95"/>
    <w:rsid w:val="001601C4"/>
    <w:rsid w:val="0016141B"/>
    <w:rsid w:val="00161C8B"/>
    <w:rsid w:val="0016329F"/>
    <w:rsid w:val="001642A5"/>
    <w:rsid w:val="00165455"/>
    <w:rsid w:val="0016551A"/>
    <w:rsid w:val="00166C10"/>
    <w:rsid w:val="00167F44"/>
    <w:rsid w:val="00170A32"/>
    <w:rsid w:val="001726EF"/>
    <w:rsid w:val="00182A7B"/>
    <w:rsid w:val="00185123"/>
    <w:rsid w:val="00187BDA"/>
    <w:rsid w:val="00187E8A"/>
    <w:rsid w:val="0019323D"/>
    <w:rsid w:val="001941FA"/>
    <w:rsid w:val="0019426A"/>
    <w:rsid w:val="00194EF2"/>
    <w:rsid w:val="00195575"/>
    <w:rsid w:val="00196A44"/>
    <w:rsid w:val="00197B7F"/>
    <w:rsid w:val="001A536D"/>
    <w:rsid w:val="001A6800"/>
    <w:rsid w:val="001A74AD"/>
    <w:rsid w:val="001B0329"/>
    <w:rsid w:val="001B3021"/>
    <w:rsid w:val="001B3BAF"/>
    <w:rsid w:val="001B5B6D"/>
    <w:rsid w:val="001C252F"/>
    <w:rsid w:val="001C2EEE"/>
    <w:rsid w:val="001C4BD8"/>
    <w:rsid w:val="001C5811"/>
    <w:rsid w:val="001D40F1"/>
    <w:rsid w:val="001D5169"/>
    <w:rsid w:val="001D5BC4"/>
    <w:rsid w:val="001D62B6"/>
    <w:rsid w:val="001D717B"/>
    <w:rsid w:val="001E0543"/>
    <w:rsid w:val="001E6563"/>
    <w:rsid w:val="001F078D"/>
    <w:rsid w:val="001F14F5"/>
    <w:rsid w:val="001F1BDD"/>
    <w:rsid w:val="001F292D"/>
    <w:rsid w:val="001F46F1"/>
    <w:rsid w:val="001F4814"/>
    <w:rsid w:val="001F4F0D"/>
    <w:rsid w:val="001F53FB"/>
    <w:rsid w:val="0020110F"/>
    <w:rsid w:val="00201A83"/>
    <w:rsid w:val="0020280D"/>
    <w:rsid w:val="002033DD"/>
    <w:rsid w:val="0021324C"/>
    <w:rsid w:val="002160AA"/>
    <w:rsid w:val="0021614E"/>
    <w:rsid w:val="00220EEE"/>
    <w:rsid w:val="00232E37"/>
    <w:rsid w:val="00234096"/>
    <w:rsid w:val="00236E28"/>
    <w:rsid w:val="002402CA"/>
    <w:rsid w:val="00240345"/>
    <w:rsid w:val="0024591C"/>
    <w:rsid w:val="002464DE"/>
    <w:rsid w:val="00247F32"/>
    <w:rsid w:val="0025065B"/>
    <w:rsid w:val="0026073A"/>
    <w:rsid w:val="002621A3"/>
    <w:rsid w:val="00262959"/>
    <w:rsid w:val="002669BA"/>
    <w:rsid w:val="002709C2"/>
    <w:rsid w:val="00270E80"/>
    <w:rsid w:val="002714E9"/>
    <w:rsid w:val="0027340F"/>
    <w:rsid w:val="00275D14"/>
    <w:rsid w:val="00277B8E"/>
    <w:rsid w:val="002818E6"/>
    <w:rsid w:val="002835B1"/>
    <w:rsid w:val="00284C1E"/>
    <w:rsid w:val="002867A6"/>
    <w:rsid w:val="002867AC"/>
    <w:rsid w:val="00294A32"/>
    <w:rsid w:val="0029771E"/>
    <w:rsid w:val="002A03BF"/>
    <w:rsid w:val="002A0824"/>
    <w:rsid w:val="002A420F"/>
    <w:rsid w:val="002A4EB1"/>
    <w:rsid w:val="002A6DFD"/>
    <w:rsid w:val="002B0479"/>
    <w:rsid w:val="002B2030"/>
    <w:rsid w:val="002B24D4"/>
    <w:rsid w:val="002B2BAD"/>
    <w:rsid w:val="002B4C94"/>
    <w:rsid w:val="002B4E56"/>
    <w:rsid w:val="002B6083"/>
    <w:rsid w:val="002B6243"/>
    <w:rsid w:val="002B7839"/>
    <w:rsid w:val="002B7FE7"/>
    <w:rsid w:val="002C158F"/>
    <w:rsid w:val="002C2C2E"/>
    <w:rsid w:val="002D090F"/>
    <w:rsid w:val="002D148B"/>
    <w:rsid w:val="002D1F8D"/>
    <w:rsid w:val="002D304D"/>
    <w:rsid w:val="002D51CF"/>
    <w:rsid w:val="002D5734"/>
    <w:rsid w:val="002E4012"/>
    <w:rsid w:val="002E7EC5"/>
    <w:rsid w:val="002F333B"/>
    <w:rsid w:val="002F4753"/>
    <w:rsid w:val="002F77B3"/>
    <w:rsid w:val="00301B17"/>
    <w:rsid w:val="00302706"/>
    <w:rsid w:val="00302989"/>
    <w:rsid w:val="00305D9A"/>
    <w:rsid w:val="0030600A"/>
    <w:rsid w:val="00306C2C"/>
    <w:rsid w:val="00311764"/>
    <w:rsid w:val="0031219A"/>
    <w:rsid w:val="003137CC"/>
    <w:rsid w:val="00314B7C"/>
    <w:rsid w:val="00321B85"/>
    <w:rsid w:val="00323A02"/>
    <w:rsid w:val="0032704A"/>
    <w:rsid w:val="00327EFF"/>
    <w:rsid w:val="00331AB9"/>
    <w:rsid w:val="00332D2E"/>
    <w:rsid w:val="00332FEA"/>
    <w:rsid w:val="00337C18"/>
    <w:rsid w:val="003411EF"/>
    <w:rsid w:val="003427E4"/>
    <w:rsid w:val="00344B22"/>
    <w:rsid w:val="00351190"/>
    <w:rsid w:val="00353291"/>
    <w:rsid w:val="00355591"/>
    <w:rsid w:val="00363C7D"/>
    <w:rsid w:val="00364658"/>
    <w:rsid w:val="00366ECC"/>
    <w:rsid w:val="003676CB"/>
    <w:rsid w:val="00375A16"/>
    <w:rsid w:val="00375FD2"/>
    <w:rsid w:val="00376331"/>
    <w:rsid w:val="003773BA"/>
    <w:rsid w:val="00380FE2"/>
    <w:rsid w:val="00383989"/>
    <w:rsid w:val="00383A56"/>
    <w:rsid w:val="00386D43"/>
    <w:rsid w:val="00387436"/>
    <w:rsid w:val="0038743A"/>
    <w:rsid w:val="00393025"/>
    <w:rsid w:val="003932EF"/>
    <w:rsid w:val="00396497"/>
    <w:rsid w:val="003A2552"/>
    <w:rsid w:val="003A5461"/>
    <w:rsid w:val="003A5EE9"/>
    <w:rsid w:val="003B2FBE"/>
    <w:rsid w:val="003B5B16"/>
    <w:rsid w:val="003C0364"/>
    <w:rsid w:val="003C1FD0"/>
    <w:rsid w:val="003C406B"/>
    <w:rsid w:val="003C45A8"/>
    <w:rsid w:val="003D2B7B"/>
    <w:rsid w:val="003D403A"/>
    <w:rsid w:val="003E5621"/>
    <w:rsid w:val="003E61C1"/>
    <w:rsid w:val="003E751B"/>
    <w:rsid w:val="003E7A23"/>
    <w:rsid w:val="003F6F52"/>
    <w:rsid w:val="00400460"/>
    <w:rsid w:val="004035FD"/>
    <w:rsid w:val="00407380"/>
    <w:rsid w:val="004132E3"/>
    <w:rsid w:val="0041393F"/>
    <w:rsid w:val="00414655"/>
    <w:rsid w:val="00414C52"/>
    <w:rsid w:val="0041537D"/>
    <w:rsid w:val="004160BC"/>
    <w:rsid w:val="0041613A"/>
    <w:rsid w:val="00416A4D"/>
    <w:rsid w:val="0041725A"/>
    <w:rsid w:val="00421282"/>
    <w:rsid w:val="0042190E"/>
    <w:rsid w:val="00426993"/>
    <w:rsid w:val="00427DD0"/>
    <w:rsid w:val="00433BB7"/>
    <w:rsid w:val="00435B58"/>
    <w:rsid w:val="00436254"/>
    <w:rsid w:val="00440237"/>
    <w:rsid w:val="00441226"/>
    <w:rsid w:val="00441DA8"/>
    <w:rsid w:val="00445FA3"/>
    <w:rsid w:val="0045217C"/>
    <w:rsid w:val="00461879"/>
    <w:rsid w:val="004708BD"/>
    <w:rsid w:val="004710F1"/>
    <w:rsid w:val="0047333F"/>
    <w:rsid w:val="00475E34"/>
    <w:rsid w:val="004842D3"/>
    <w:rsid w:val="0048782E"/>
    <w:rsid w:val="0048793F"/>
    <w:rsid w:val="004972BF"/>
    <w:rsid w:val="004A38CF"/>
    <w:rsid w:val="004A3DD9"/>
    <w:rsid w:val="004B04B0"/>
    <w:rsid w:val="004B5404"/>
    <w:rsid w:val="004B7C92"/>
    <w:rsid w:val="004C01CE"/>
    <w:rsid w:val="004C1F86"/>
    <w:rsid w:val="004C2E65"/>
    <w:rsid w:val="004C4AB0"/>
    <w:rsid w:val="004C4F16"/>
    <w:rsid w:val="004C6A29"/>
    <w:rsid w:val="004C7520"/>
    <w:rsid w:val="004D1376"/>
    <w:rsid w:val="004D36F4"/>
    <w:rsid w:val="004D7582"/>
    <w:rsid w:val="004D75F7"/>
    <w:rsid w:val="004E1954"/>
    <w:rsid w:val="004E2686"/>
    <w:rsid w:val="004E47DF"/>
    <w:rsid w:val="004E5EDF"/>
    <w:rsid w:val="004F0FB5"/>
    <w:rsid w:val="004F1EFD"/>
    <w:rsid w:val="004F4122"/>
    <w:rsid w:val="004F643C"/>
    <w:rsid w:val="005012E8"/>
    <w:rsid w:val="005035CF"/>
    <w:rsid w:val="0050469E"/>
    <w:rsid w:val="005167FD"/>
    <w:rsid w:val="005203BF"/>
    <w:rsid w:val="00523338"/>
    <w:rsid w:val="005250AD"/>
    <w:rsid w:val="00526549"/>
    <w:rsid w:val="005275EA"/>
    <w:rsid w:val="00527629"/>
    <w:rsid w:val="00532EB8"/>
    <w:rsid w:val="00533631"/>
    <w:rsid w:val="00537B6B"/>
    <w:rsid w:val="00540E88"/>
    <w:rsid w:val="00541530"/>
    <w:rsid w:val="00542D68"/>
    <w:rsid w:val="00544279"/>
    <w:rsid w:val="00544F8E"/>
    <w:rsid w:val="005467CB"/>
    <w:rsid w:val="00552FBC"/>
    <w:rsid w:val="00554C3E"/>
    <w:rsid w:val="0056043C"/>
    <w:rsid w:val="00560C27"/>
    <w:rsid w:val="0056791C"/>
    <w:rsid w:val="00573ABC"/>
    <w:rsid w:val="005757CC"/>
    <w:rsid w:val="00577335"/>
    <w:rsid w:val="00577BB3"/>
    <w:rsid w:val="005812E2"/>
    <w:rsid w:val="00587DA7"/>
    <w:rsid w:val="00591564"/>
    <w:rsid w:val="00591DBB"/>
    <w:rsid w:val="00592D65"/>
    <w:rsid w:val="00595CF0"/>
    <w:rsid w:val="00595D21"/>
    <w:rsid w:val="005974DC"/>
    <w:rsid w:val="005A0533"/>
    <w:rsid w:val="005A4DF4"/>
    <w:rsid w:val="005A78B7"/>
    <w:rsid w:val="005B0877"/>
    <w:rsid w:val="005B274D"/>
    <w:rsid w:val="005B379F"/>
    <w:rsid w:val="005B45F5"/>
    <w:rsid w:val="005C5560"/>
    <w:rsid w:val="005C579A"/>
    <w:rsid w:val="005C58C2"/>
    <w:rsid w:val="005D3ED4"/>
    <w:rsid w:val="005D4BB6"/>
    <w:rsid w:val="005D6252"/>
    <w:rsid w:val="005D7527"/>
    <w:rsid w:val="005E4993"/>
    <w:rsid w:val="005E50A8"/>
    <w:rsid w:val="005E50D4"/>
    <w:rsid w:val="005E58DC"/>
    <w:rsid w:val="005E62FF"/>
    <w:rsid w:val="005E649D"/>
    <w:rsid w:val="005E66B5"/>
    <w:rsid w:val="005F33FF"/>
    <w:rsid w:val="005F410F"/>
    <w:rsid w:val="0060134F"/>
    <w:rsid w:val="00604A70"/>
    <w:rsid w:val="00605896"/>
    <w:rsid w:val="006058F9"/>
    <w:rsid w:val="006240E9"/>
    <w:rsid w:val="00624C83"/>
    <w:rsid w:val="006429E9"/>
    <w:rsid w:val="00645AB1"/>
    <w:rsid w:val="00652DE9"/>
    <w:rsid w:val="006573D3"/>
    <w:rsid w:val="0065770F"/>
    <w:rsid w:val="00662861"/>
    <w:rsid w:val="00664DAE"/>
    <w:rsid w:val="00664E52"/>
    <w:rsid w:val="00665CF0"/>
    <w:rsid w:val="00666417"/>
    <w:rsid w:val="00666B85"/>
    <w:rsid w:val="00674068"/>
    <w:rsid w:val="00676A53"/>
    <w:rsid w:val="00676AD1"/>
    <w:rsid w:val="006804CF"/>
    <w:rsid w:val="00681918"/>
    <w:rsid w:val="00681D0A"/>
    <w:rsid w:val="00684D14"/>
    <w:rsid w:val="00691A98"/>
    <w:rsid w:val="00695271"/>
    <w:rsid w:val="006960F5"/>
    <w:rsid w:val="006961A2"/>
    <w:rsid w:val="00696216"/>
    <w:rsid w:val="00697181"/>
    <w:rsid w:val="006A0273"/>
    <w:rsid w:val="006A08FF"/>
    <w:rsid w:val="006A0E3F"/>
    <w:rsid w:val="006A16E5"/>
    <w:rsid w:val="006A5321"/>
    <w:rsid w:val="006A538E"/>
    <w:rsid w:val="006B0E13"/>
    <w:rsid w:val="006B1F43"/>
    <w:rsid w:val="006B2957"/>
    <w:rsid w:val="006B54BF"/>
    <w:rsid w:val="006B5DB0"/>
    <w:rsid w:val="006C1D15"/>
    <w:rsid w:val="006C392D"/>
    <w:rsid w:val="006C4EB8"/>
    <w:rsid w:val="006D15C1"/>
    <w:rsid w:val="006D259A"/>
    <w:rsid w:val="006E541E"/>
    <w:rsid w:val="006E55CA"/>
    <w:rsid w:val="006E6287"/>
    <w:rsid w:val="006F1EC1"/>
    <w:rsid w:val="006F364B"/>
    <w:rsid w:val="006F7188"/>
    <w:rsid w:val="00702D5C"/>
    <w:rsid w:val="007046A2"/>
    <w:rsid w:val="00705185"/>
    <w:rsid w:val="00706AF1"/>
    <w:rsid w:val="00706C1F"/>
    <w:rsid w:val="00707A0C"/>
    <w:rsid w:val="00710534"/>
    <w:rsid w:val="00710C5E"/>
    <w:rsid w:val="00715527"/>
    <w:rsid w:val="007158EE"/>
    <w:rsid w:val="00715B53"/>
    <w:rsid w:val="00723918"/>
    <w:rsid w:val="00723970"/>
    <w:rsid w:val="00723FA1"/>
    <w:rsid w:val="00723FBD"/>
    <w:rsid w:val="00725EEB"/>
    <w:rsid w:val="00727168"/>
    <w:rsid w:val="007314E6"/>
    <w:rsid w:val="00735577"/>
    <w:rsid w:val="007356D4"/>
    <w:rsid w:val="00741D7D"/>
    <w:rsid w:val="0074509C"/>
    <w:rsid w:val="00746129"/>
    <w:rsid w:val="00746F1C"/>
    <w:rsid w:val="00754991"/>
    <w:rsid w:val="007559F1"/>
    <w:rsid w:val="007575EB"/>
    <w:rsid w:val="007578BF"/>
    <w:rsid w:val="0075797E"/>
    <w:rsid w:val="00757A38"/>
    <w:rsid w:val="00763273"/>
    <w:rsid w:val="007639D2"/>
    <w:rsid w:val="00765FB6"/>
    <w:rsid w:val="007703CD"/>
    <w:rsid w:val="00770EDE"/>
    <w:rsid w:val="0078072E"/>
    <w:rsid w:val="007808F0"/>
    <w:rsid w:val="00781238"/>
    <w:rsid w:val="007814EF"/>
    <w:rsid w:val="007868B6"/>
    <w:rsid w:val="00790540"/>
    <w:rsid w:val="007936E5"/>
    <w:rsid w:val="00797286"/>
    <w:rsid w:val="007A17F1"/>
    <w:rsid w:val="007A28A0"/>
    <w:rsid w:val="007A76F3"/>
    <w:rsid w:val="007A77FC"/>
    <w:rsid w:val="007B16C3"/>
    <w:rsid w:val="007B55AA"/>
    <w:rsid w:val="007B5FFD"/>
    <w:rsid w:val="007B7269"/>
    <w:rsid w:val="007B7E86"/>
    <w:rsid w:val="007C0352"/>
    <w:rsid w:val="007C6CCD"/>
    <w:rsid w:val="007C7A31"/>
    <w:rsid w:val="007D156F"/>
    <w:rsid w:val="007E2F20"/>
    <w:rsid w:val="007E3A43"/>
    <w:rsid w:val="007E5827"/>
    <w:rsid w:val="007E5BB8"/>
    <w:rsid w:val="007F1783"/>
    <w:rsid w:val="007F3417"/>
    <w:rsid w:val="007F70C3"/>
    <w:rsid w:val="00800FF0"/>
    <w:rsid w:val="00801487"/>
    <w:rsid w:val="008039BF"/>
    <w:rsid w:val="00805C67"/>
    <w:rsid w:val="00807210"/>
    <w:rsid w:val="00807262"/>
    <w:rsid w:val="00810FBB"/>
    <w:rsid w:val="008115EC"/>
    <w:rsid w:val="008173AA"/>
    <w:rsid w:val="00817F91"/>
    <w:rsid w:val="00825FBE"/>
    <w:rsid w:val="00830052"/>
    <w:rsid w:val="008321C0"/>
    <w:rsid w:val="0083299A"/>
    <w:rsid w:val="00832C22"/>
    <w:rsid w:val="00846348"/>
    <w:rsid w:val="0084634C"/>
    <w:rsid w:val="00846EE5"/>
    <w:rsid w:val="00851A55"/>
    <w:rsid w:val="00853251"/>
    <w:rsid w:val="00856DAA"/>
    <w:rsid w:val="00857FDA"/>
    <w:rsid w:val="00860473"/>
    <w:rsid w:val="00860AF0"/>
    <w:rsid w:val="00862B2B"/>
    <w:rsid w:val="00863007"/>
    <w:rsid w:val="008743ED"/>
    <w:rsid w:val="00874A26"/>
    <w:rsid w:val="008768D9"/>
    <w:rsid w:val="0087751A"/>
    <w:rsid w:val="00881B6D"/>
    <w:rsid w:val="0088497E"/>
    <w:rsid w:val="00887F6C"/>
    <w:rsid w:val="00890DE4"/>
    <w:rsid w:val="00890EC9"/>
    <w:rsid w:val="00892B51"/>
    <w:rsid w:val="00895E59"/>
    <w:rsid w:val="0089799A"/>
    <w:rsid w:val="00897FE2"/>
    <w:rsid w:val="008A0843"/>
    <w:rsid w:val="008A1B7C"/>
    <w:rsid w:val="008A245B"/>
    <w:rsid w:val="008A52FB"/>
    <w:rsid w:val="008B0024"/>
    <w:rsid w:val="008B2025"/>
    <w:rsid w:val="008B6E10"/>
    <w:rsid w:val="008B75F6"/>
    <w:rsid w:val="008C1CD6"/>
    <w:rsid w:val="008C4E96"/>
    <w:rsid w:val="008C6D76"/>
    <w:rsid w:val="008C73AA"/>
    <w:rsid w:val="008C7851"/>
    <w:rsid w:val="008D1B66"/>
    <w:rsid w:val="008D46C9"/>
    <w:rsid w:val="008E3B27"/>
    <w:rsid w:val="008E633E"/>
    <w:rsid w:val="008E7A9D"/>
    <w:rsid w:val="008F0CCE"/>
    <w:rsid w:val="008F266A"/>
    <w:rsid w:val="008F453F"/>
    <w:rsid w:val="00914B55"/>
    <w:rsid w:val="00921365"/>
    <w:rsid w:val="00922DA4"/>
    <w:rsid w:val="00925461"/>
    <w:rsid w:val="009276AB"/>
    <w:rsid w:val="0094042C"/>
    <w:rsid w:val="009410BE"/>
    <w:rsid w:val="0094260D"/>
    <w:rsid w:val="009466F7"/>
    <w:rsid w:val="00954EF6"/>
    <w:rsid w:val="009558F8"/>
    <w:rsid w:val="00956558"/>
    <w:rsid w:val="00957B92"/>
    <w:rsid w:val="0096446A"/>
    <w:rsid w:val="00965E67"/>
    <w:rsid w:val="00966B36"/>
    <w:rsid w:val="00972680"/>
    <w:rsid w:val="009726CC"/>
    <w:rsid w:val="009727FB"/>
    <w:rsid w:val="00975758"/>
    <w:rsid w:val="00976C5C"/>
    <w:rsid w:val="00980DE8"/>
    <w:rsid w:val="009838CF"/>
    <w:rsid w:val="0098409F"/>
    <w:rsid w:val="009861D5"/>
    <w:rsid w:val="0099051F"/>
    <w:rsid w:val="009905EE"/>
    <w:rsid w:val="00991928"/>
    <w:rsid w:val="00991B50"/>
    <w:rsid w:val="00993FBF"/>
    <w:rsid w:val="0099576C"/>
    <w:rsid w:val="0099649C"/>
    <w:rsid w:val="009A02E9"/>
    <w:rsid w:val="009A1FDD"/>
    <w:rsid w:val="009A3F08"/>
    <w:rsid w:val="009A52B6"/>
    <w:rsid w:val="009C4C5F"/>
    <w:rsid w:val="009C5D80"/>
    <w:rsid w:val="009C6222"/>
    <w:rsid w:val="009D0AC2"/>
    <w:rsid w:val="009D1A66"/>
    <w:rsid w:val="009E1878"/>
    <w:rsid w:val="009E3E33"/>
    <w:rsid w:val="009E7CA8"/>
    <w:rsid w:val="00A0296B"/>
    <w:rsid w:val="00A03E34"/>
    <w:rsid w:val="00A0423D"/>
    <w:rsid w:val="00A11A38"/>
    <w:rsid w:val="00A15E01"/>
    <w:rsid w:val="00A228D3"/>
    <w:rsid w:val="00A2436A"/>
    <w:rsid w:val="00A24CF5"/>
    <w:rsid w:val="00A25764"/>
    <w:rsid w:val="00A271BD"/>
    <w:rsid w:val="00A31E55"/>
    <w:rsid w:val="00A320C3"/>
    <w:rsid w:val="00A333D5"/>
    <w:rsid w:val="00A35480"/>
    <w:rsid w:val="00A356C7"/>
    <w:rsid w:val="00A41ACE"/>
    <w:rsid w:val="00A41FE5"/>
    <w:rsid w:val="00A421F3"/>
    <w:rsid w:val="00A46066"/>
    <w:rsid w:val="00A51130"/>
    <w:rsid w:val="00A51D18"/>
    <w:rsid w:val="00A51ED7"/>
    <w:rsid w:val="00A56427"/>
    <w:rsid w:val="00A56483"/>
    <w:rsid w:val="00A571A9"/>
    <w:rsid w:val="00A605FD"/>
    <w:rsid w:val="00A60A00"/>
    <w:rsid w:val="00A637FD"/>
    <w:rsid w:val="00A675D2"/>
    <w:rsid w:val="00A7048C"/>
    <w:rsid w:val="00A7068B"/>
    <w:rsid w:val="00A71187"/>
    <w:rsid w:val="00A714D1"/>
    <w:rsid w:val="00A73138"/>
    <w:rsid w:val="00A74C41"/>
    <w:rsid w:val="00A765DD"/>
    <w:rsid w:val="00A76668"/>
    <w:rsid w:val="00A83B92"/>
    <w:rsid w:val="00A858F5"/>
    <w:rsid w:val="00A87540"/>
    <w:rsid w:val="00A94F83"/>
    <w:rsid w:val="00A96526"/>
    <w:rsid w:val="00A970AD"/>
    <w:rsid w:val="00A97762"/>
    <w:rsid w:val="00AA26AF"/>
    <w:rsid w:val="00AA795F"/>
    <w:rsid w:val="00AB1B03"/>
    <w:rsid w:val="00AB1CF7"/>
    <w:rsid w:val="00AB3308"/>
    <w:rsid w:val="00AB507F"/>
    <w:rsid w:val="00AB538C"/>
    <w:rsid w:val="00AB6980"/>
    <w:rsid w:val="00AC09D9"/>
    <w:rsid w:val="00AC13EB"/>
    <w:rsid w:val="00AC26B2"/>
    <w:rsid w:val="00AC4724"/>
    <w:rsid w:val="00AC4BEE"/>
    <w:rsid w:val="00AC6135"/>
    <w:rsid w:val="00AC7CA0"/>
    <w:rsid w:val="00AD25AA"/>
    <w:rsid w:val="00AD469D"/>
    <w:rsid w:val="00AD4BEB"/>
    <w:rsid w:val="00AD552B"/>
    <w:rsid w:val="00AE3EBB"/>
    <w:rsid w:val="00AE4385"/>
    <w:rsid w:val="00AE5F99"/>
    <w:rsid w:val="00AE781D"/>
    <w:rsid w:val="00AF1FE2"/>
    <w:rsid w:val="00AF36BB"/>
    <w:rsid w:val="00AF3E63"/>
    <w:rsid w:val="00AF4056"/>
    <w:rsid w:val="00B02668"/>
    <w:rsid w:val="00B03C28"/>
    <w:rsid w:val="00B0487A"/>
    <w:rsid w:val="00B05134"/>
    <w:rsid w:val="00B05770"/>
    <w:rsid w:val="00B0598E"/>
    <w:rsid w:val="00B06FB7"/>
    <w:rsid w:val="00B11085"/>
    <w:rsid w:val="00B15390"/>
    <w:rsid w:val="00B16159"/>
    <w:rsid w:val="00B2268A"/>
    <w:rsid w:val="00B24DE4"/>
    <w:rsid w:val="00B27984"/>
    <w:rsid w:val="00B325FE"/>
    <w:rsid w:val="00B32CED"/>
    <w:rsid w:val="00B342B2"/>
    <w:rsid w:val="00B3495E"/>
    <w:rsid w:val="00B34D33"/>
    <w:rsid w:val="00B3550A"/>
    <w:rsid w:val="00B358C3"/>
    <w:rsid w:val="00B410A4"/>
    <w:rsid w:val="00B4190D"/>
    <w:rsid w:val="00B42333"/>
    <w:rsid w:val="00B42934"/>
    <w:rsid w:val="00B455E4"/>
    <w:rsid w:val="00B4574A"/>
    <w:rsid w:val="00B52D0E"/>
    <w:rsid w:val="00B5365F"/>
    <w:rsid w:val="00B53FE1"/>
    <w:rsid w:val="00B54735"/>
    <w:rsid w:val="00B55961"/>
    <w:rsid w:val="00B56D75"/>
    <w:rsid w:val="00B60271"/>
    <w:rsid w:val="00B64BB7"/>
    <w:rsid w:val="00B675E1"/>
    <w:rsid w:val="00B71A0D"/>
    <w:rsid w:val="00B83490"/>
    <w:rsid w:val="00B83D59"/>
    <w:rsid w:val="00B84062"/>
    <w:rsid w:val="00B92622"/>
    <w:rsid w:val="00B93AFF"/>
    <w:rsid w:val="00B94C93"/>
    <w:rsid w:val="00BA2A00"/>
    <w:rsid w:val="00BA310D"/>
    <w:rsid w:val="00BA64FA"/>
    <w:rsid w:val="00BA6A6C"/>
    <w:rsid w:val="00BB057C"/>
    <w:rsid w:val="00BB2242"/>
    <w:rsid w:val="00BB5C54"/>
    <w:rsid w:val="00BB6E52"/>
    <w:rsid w:val="00BC1516"/>
    <w:rsid w:val="00BC19DD"/>
    <w:rsid w:val="00BC3C0A"/>
    <w:rsid w:val="00BC5625"/>
    <w:rsid w:val="00BC72B4"/>
    <w:rsid w:val="00BD2B35"/>
    <w:rsid w:val="00BD4B32"/>
    <w:rsid w:val="00BD52FB"/>
    <w:rsid w:val="00BD61AA"/>
    <w:rsid w:val="00BD65CD"/>
    <w:rsid w:val="00BE5F5F"/>
    <w:rsid w:val="00BE6376"/>
    <w:rsid w:val="00BF0585"/>
    <w:rsid w:val="00BF0EF9"/>
    <w:rsid w:val="00BF25FE"/>
    <w:rsid w:val="00BF26A6"/>
    <w:rsid w:val="00C00209"/>
    <w:rsid w:val="00C007AE"/>
    <w:rsid w:val="00C0154C"/>
    <w:rsid w:val="00C0526F"/>
    <w:rsid w:val="00C05A3E"/>
    <w:rsid w:val="00C07B32"/>
    <w:rsid w:val="00C10C50"/>
    <w:rsid w:val="00C1110F"/>
    <w:rsid w:val="00C11F63"/>
    <w:rsid w:val="00C13528"/>
    <w:rsid w:val="00C15F8B"/>
    <w:rsid w:val="00C15FD6"/>
    <w:rsid w:val="00C16F0C"/>
    <w:rsid w:val="00C20A43"/>
    <w:rsid w:val="00C2221F"/>
    <w:rsid w:val="00C232FF"/>
    <w:rsid w:val="00C2359B"/>
    <w:rsid w:val="00C242C3"/>
    <w:rsid w:val="00C24810"/>
    <w:rsid w:val="00C26827"/>
    <w:rsid w:val="00C27896"/>
    <w:rsid w:val="00C34AE9"/>
    <w:rsid w:val="00C36E38"/>
    <w:rsid w:val="00C37B3E"/>
    <w:rsid w:val="00C43406"/>
    <w:rsid w:val="00C43F34"/>
    <w:rsid w:val="00C46D6B"/>
    <w:rsid w:val="00C47AA9"/>
    <w:rsid w:val="00C50B69"/>
    <w:rsid w:val="00C53DDC"/>
    <w:rsid w:val="00C556BF"/>
    <w:rsid w:val="00C57B38"/>
    <w:rsid w:val="00C63716"/>
    <w:rsid w:val="00C65DF1"/>
    <w:rsid w:val="00C67034"/>
    <w:rsid w:val="00C75BD7"/>
    <w:rsid w:val="00C77262"/>
    <w:rsid w:val="00C779A3"/>
    <w:rsid w:val="00C8276E"/>
    <w:rsid w:val="00C84425"/>
    <w:rsid w:val="00C84527"/>
    <w:rsid w:val="00C84946"/>
    <w:rsid w:val="00C84EDA"/>
    <w:rsid w:val="00C87C0F"/>
    <w:rsid w:val="00C90488"/>
    <w:rsid w:val="00C92675"/>
    <w:rsid w:val="00C9320D"/>
    <w:rsid w:val="00C93A51"/>
    <w:rsid w:val="00C94816"/>
    <w:rsid w:val="00C954EF"/>
    <w:rsid w:val="00C96471"/>
    <w:rsid w:val="00CA3173"/>
    <w:rsid w:val="00CA453A"/>
    <w:rsid w:val="00CA64FE"/>
    <w:rsid w:val="00CB0EF3"/>
    <w:rsid w:val="00CB5EFF"/>
    <w:rsid w:val="00CC21B8"/>
    <w:rsid w:val="00CC30EF"/>
    <w:rsid w:val="00CC6089"/>
    <w:rsid w:val="00CD003C"/>
    <w:rsid w:val="00CD1B12"/>
    <w:rsid w:val="00CD2A5C"/>
    <w:rsid w:val="00CD2B22"/>
    <w:rsid w:val="00CD44BE"/>
    <w:rsid w:val="00CD4E72"/>
    <w:rsid w:val="00CD6DEB"/>
    <w:rsid w:val="00CD71F3"/>
    <w:rsid w:val="00CE018A"/>
    <w:rsid w:val="00CE28B9"/>
    <w:rsid w:val="00CE2F55"/>
    <w:rsid w:val="00CE6763"/>
    <w:rsid w:val="00CF13FE"/>
    <w:rsid w:val="00CF2D28"/>
    <w:rsid w:val="00CF3AE4"/>
    <w:rsid w:val="00CF49DF"/>
    <w:rsid w:val="00CF4F8C"/>
    <w:rsid w:val="00CF7236"/>
    <w:rsid w:val="00D073FC"/>
    <w:rsid w:val="00D1157B"/>
    <w:rsid w:val="00D21EF5"/>
    <w:rsid w:val="00D22252"/>
    <w:rsid w:val="00D2265B"/>
    <w:rsid w:val="00D240D0"/>
    <w:rsid w:val="00D31D28"/>
    <w:rsid w:val="00D32AF3"/>
    <w:rsid w:val="00D37189"/>
    <w:rsid w:val="00D40254"/>
    <w:rsid w:val="00D405BD"/>
    <w:rsid w:val="00D418D0"/>
    <w:rsid w:val="00D4197F"/>
    <w:rsid w:val="00D41E73"/>
    <w:rsid w:val="00D4323E"/>
    <w:rsid w:val="00D4464E"/>
    <w:rsid w:val="00D45028"/>
    <w:rsid w:val="00D46BC6"/>
    <w:rsid w:val="00D53FD8"/>
    <w:rsid w:val="00D6164F"/>
    <w:rsid w:val="00D63692"/>
    <w:rsid w:val="00D647C9"/>
    <w:rsid w:val="00D667C1"/>
    <w:rsid w:val="00D73F97"/>
    <w:rsid w:val="00D74E76"/>
    <w:rsid w:val="00D818D5"/>
    <w:rsid w:val="00D90D72"/>
    <w:rsid w:val="00D90FA3"/>
    <w:rsid w:val="00D94027"/>
    <w:rsid w:val="00D962B4"/>
    <w:rsid w:val="00D977CF"/>
    <w:rsid w:val="00DA027F"/>
    <w:rsid w:val="00DA1E56"/>
    <w:rsid w:val="00DA5145"/>
    <w:rsid w:val="00DA6169"/>
    <w:rsid w:val="00DB0517"/>
    <w:rsid w:val="00DB5837"/>
    <w:rsid w:val="00DB6517"/>
    <w:rsid w:val="00DC02B2"/>
    <w:rsid w:val="00DC35FF"/>
    <w:rsid w:val="00DC69F3"/>
    <w:rsid w:val="00DD05DC"/>
    <w:rsid w:val="00DD0EE6"/>
    <w:rsid w:val="00DD3A42"/>
    <w:rsid w:val="00DD6684"/>
    <w:rsid w:val="00DD6B7A"/>
    <w:rsid w:val="00DE1629"/>
    <w:rsid w:val="00DE67C6"/>
    <w:rsid w:val="00DF49AF"/>
    <w:rsid w:val="00DF4DC6"/>
    <w:rsid w:val="00DF713F"/>
    <w:rsid w:val="00DF7B61"/>
    <w:rsid w:val="00DF7D7E"/>
    <w:rsid w:val="00E022C6"/>
    <w:rsid w:val="00E05779"/>
    <w:rsid w:val="00E05A33"/>
    <w:rsid w:val="00E12351"/>
    <w:rsid w:val="00E12601"/>
    <w:rsid w:val="00E14326"/>
    <w:rsid w:val="00E152EC"/>
    <w:rsid w:val="00E1659C"/>
    <w:rsid w:val="00E17305"/>
    <w:rsid w:val="00E208A0"/>
    <w:rsid w:val="00E21CBF"/>
    <w:rsid w:val="00E32DD9"/>
    <w:rsid w:val="00E33B02"/>
    <w:rsid w:val="00E346B5"/>
    <w:rsid w:val="00E373A6"/>
    <w:rsid w:val="00E4440D"/>
    <w:rsid w:val="00E479F3"/>
    <w:rsid w:val="00E47E9C"/>
    <w:rsid w:val="00E5181A"/>
    <w:rsid w:val="00E5220C"/>
    <w:rsid w:val="00E52AFA"/>
    <w:rsid w:val="00E6377D"/>
    <w:rsid w:val="00E647C0"/>
    <w:rsid w:val="00E66AA4"/>
    <w:rsid w:val="00E66C19"/>
    <w:rsid w:val="00E74070"/>
    <w:rsid w:val="00E7421D"/>
    <w:rsid w:val="00E75441"/>
    <w:rsid w:val="00E761C2"/>
    <w:rsid w:val="00E80E5B"/>
    <w:rsid w:val="00E815F0"/>
    <w:rsid w:val="00E94822"/>
    <w:rsid w:val="00E97BBC"/>
    <w:rsid w:val="00E97D62"/>
    <w:rsid w:val="00EA5FDC"/>
    <w:rsid w:val="00EB1407"/>
    <w:rsid w:val="00EB18F9"/>
    <w:rsid w:val="00EB2AD2"/>
    <w:rsid w:val="00EB2B1C"/>
    <w:rsid w:val="00EB31FD"/>
    <w:rsid w:val="00EC155D"/>
    <w:rsid w:val="00EC6DF2"/>
    <w:rsid w:val="00ED14E8"/>
    <w:rsid w:val="00ED1FE9"/>
    <w:rsid w:val="00EE5099"/>
    <w:rsid w:val="00EE596B"/>
    <w:rsid w:val="00EF11F7"/>
    <w:rsid w:val="00EF2DC0"/>
    <w:rsid w:val="00F0497B"/>
    <w:rsid w:val="00F0719B"/>
    <w:rsid w:val="00F11E61"/>
    <w:rsid w:val="00F14449"/>
    <w:rsid w:val="00F1564B"/>
    <w:rsid w:val="00F22520"/>
    <w:rsid w:val="00F22CAB"/>
    <w:rsid w:val="00F37F06"/>
    <w:rsid w:val="00F4228D"/>
    <w:rsid w:val="00F502E4"/>
    <w:rsid w:val="00F5385D"/>
    <w:rsid w:val="00F63C78"/>
    <w:rsid w:val="00F6513E"/>
    <w:rsid w:val="00F66D8E"/>
    <w:rsid w:val="00F70A91"/>
    <w:rsid w:val="00F71467"/>
    <w:rsid w:val="00F80877"/>
    <w:rsid w:val="00F81B81"/>
    <w:rsid w:val="00F83412"/>
    <w:rsid w:val="00F84AD5"/>
    <w:rsid w:val="00F85E41"/>
    <w:rsid w:val="00F90DBA"/>
    <w:rsid w:val="00F92125"/>
    <w:rsid w:val="00F94A8F"/>
    <w:rsid w:val="00F96423"/>
    <w:rsid w:val="00FA45FA"/>
    <w:rsid w:val="00FA69C2"/>
    <w:rsid w:val="00FB0D30"/>
    <w:rsid w:val="00FB1122"/>
    <w:rsid w:val="00FB75FD"/>
    <w:rsid w:val="00FC0AB6"/>
    <w:rsid w:val="00FD14D3"/>
    <w:rsid w:val="00FD1716"/>
    <w:rsid w:val="00FD26ED"/>
    <w:rsid w:val="00FE59C2"/>
    <w:rsid w:val="00FF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36E8D"/>
  <w15:docId w15:val="{6695E289-A649-408A-9408-5A8A3A00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1CE"/>
  </w:style>
  <w:style w:type="paragraph" w:styleId="Heading1">
    <w:name w:val="heading 1"/>
    <w:basedOn w:val="Normal"/>
    <w:next w:val="Normal"/>
    <w:link w:val="Heading1Char"/>
    <w:uiPriority w:val="9"/>
    <w:qFormat/>
    <w:rsid w:val="004C01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autoRedefine/>
    <w:uiPriority w:val="9"/>
    <w:qFormat/>
    <w:rsid w:val="004C01CE"/>
    <w:pPr>
      <w:keepNext/>
      <w:spacing w:before="100" w:beforeAutospacing="1" w:after="100" w:afterAutospacing="1" w:line="240" w:lineRule="auto"/>
      <w:outlineLvl w:val="1"/>
    </w:pPr>
    <w:rPr>
      <w:rFonts w:ascii="Times New Roman" w:eastAsiaTheme="majorEastAsia" w:hAnsi="Times New Roman" w:cstheme="majorBidi"/>
      <w:b/>
      <w:bCs/>
      <w:color w:val="4F81BD" w:themeColor="accent1"/>
      <w:sz w:val="24"/>
      <w:szCs w:val="36"/>
    </w:rPr>
  </w:style>
  <w:style w:type="paragraph" w:styleId="Heading3">
    <w:name w:val="heading 3"/>
    <w:basedOn w:val="Normal"/>
    <w:next w:val="Normal"/>
    <w:link w:val="Heading3Char"/>
    <w:uiPriority w:val="9"/>
    <w:semiHidden/>
    <w:unhideWhenUsed/>
    <w:qFormat/>
    <w:rsid w:val="004C01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01C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C01C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C01C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C01C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C01C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C01C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01CE"/>
    <w:rPr>
      <w:rFonts w:ascii="Times New Roman" w:eastAsiaTheme="majorEastAsia" w:hAnsi="Times New Roman" w:cstheme="majorBidi"/>
      <w:b/>
      <w:bCs/>
      <w:color w:val="4F81BD" w:themeColor="accent1"/>
      <w:sz w:val="24"/>
      <w:szCs w:val="36"/>
    </w:rPr>
  </w:style>
  <w:style w:type="paragraph" w:styleId="NormalWeb">
    <w:name w:val="Normal (Web)"/>
    <w:basedOn w:val="Normal"/>
    <w:uiPriority w:val="99"/>
    <w:unhideWhenUsed/>
    <w:rsid w:val="00161C8B"/>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161C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1C8B"/>
  </w:style>
  <w:style w:type="paragraph" w:styleId="Footer">
    <w:name w:val="footer"/>
    <w:basedOn w:val="Normal"/>
    <w:link w:val="FooterChar"/>
    <w:uiPriority w:val="99"/>
    <w:unhideWhenUsed/>
    <w:rsid w:val="00161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C8B"/>
  </w:style>
  <w:style w:type="paragraph" w:styleId="ListParagraph">
    <w:name w:val="List Paragraph"/>
    <w:basedOn w:val="Normal"/>
    <w:link w:val="ListParagraphChar"/>
    <w:uiPriority w:val="34"/>
    <w:qFormat/>
    <w:rsid w:val="004C01CE"/>
    <w:pPr>
      <w:ind w:left="720"/>
      <w:contextualSpacing/>
    </w:pPr>
  </w:style>
  <w:style w:type="character" w:customStyle="1" w:styleId="ListParagraphChar">
    <w:name w:val="List Paragraph Char"/>
    <w:basedOn w:val="DefaultParagraphFont"/>
    <w:link w:val="ListParagraph"/>
    <w:uiPriority w:val="34"/>
    <w:rsid w:val="004C01CE"/>
  </w:style>
  <w:style w:type="character" w:customStyle="1" w:styleId="Heading1Char">
    <w:name w:val="Heading 1 Char"/>
    <w:basedOn w:val="DefaultParagraphFont"/>
    <w:link w:val="Heading1"/>
    <w:uiPriority w:val="9"/>
    <w:rsid w:val="004C01C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74E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4C01CE"/>
    <w:rPr>
      <w:b/>
      <w:bCs/>
    </w:rPr>
  </w:style>
  <w:style w:type="paragraph" w:customStyle="1" w:styleId="sBullet">
    <w:name w:val="sBullet"/>
    <w:basedOn w:val="ListParagraph"/>
    <w:link w:val="sBulletChar"/>
    <w:rsid w:val="00D74E76"/>
    <w:pPr>
      <w:keepNext/>
      <w:keepLines/>
      <w:numPr>
        <w:numId w:val="5"/>
      </w:numPr>
      <w:spacing w:after="0" w:line="240" w:lineRule="auto"/>
    </w:pPr>
    <w:rPr>
      <w:color w:val="000000" w:themeColor="text1"/>
      <w:sz w:val="16"/>
      <w:szCs w:val="16"/>
    </w:rPr>
  </w:style>
  <w:style w:type="character" w:customStyle="1" w:styleId="sBulletChar">
    <w:name w:val="sBullet Char"/>
    <w:basedOn w:val="ListParagraphChar"/>
    <w:link w:val="sBullet"/>
    <w:rsid w:val="00D74E76"/>
    <w:rPr>
      <w:color w:val="000000" w:themeColor="text1"/>
      <w:sz w:val="16"/>
      <w:szCs w:val="16"/>
    </w:rPr>
  </w:style>
  <w:style w:type="paragraph" w:styleId="BodyText">
    <w:name w:val="Body Text"/>
    <w:basedOn w:val="Normal"/>
    <w:link w:val="BodyTextChar"/>
    <w:rsid w:val="00C26827"/>
    <w:pPr>
      <w:widowControl w:val="0"/>
      <w:spacing w:after="0" w:line="240" w:lineRule="auto"/>
      <w:jc w:val="both"/>
    </w:pPr>
    <w:rPr>
      <w:rFonts w:ascii="MS PGothic" w:eastAsia="MS PGothic" w:hAnsi="Century" w:cs="MS PGothic"/>
      <w:kern w:val="2"/>
      <w:lang w:eastAsia="ja-JP"/>
    </w:rPr>
  </w:style>
  <w:style w:type="character" w:customStyle="1" w:styleId="BodyTextChar">
    <w:name w:val="Body Text Char"/>
    <w:basedOn w:val="DefaultParagraphFont"/>
    <w:link w:val="BodyText"/>
    <w:rsid w:val="00C26827"/>
    <w:rPr>
      <w:rFonts w:ascii="MS PGothic" w:eastAsia="MS PGothic" w:hAnsi="Century" w:cs="MS PGothic"/>
      <w:kern w:val="2"/>
      <w:lang w:eastAsia="ja-JP"/>
    </w:rPr>
  </w:style>
  <w:style w:type="paragraph" w:styleId="BalloonText">
    <w:name w:val="Balloon Text"/>
    <w:basedOn w:val="Normal"/>
    <w:link w:val="BalloonTextChar"/>
    <w:uiPriority w:val="99"/>
    <w:semiHidden/>
    <w:unhideWhenUsed/>
    <w:rsid w:val="001A6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800"/>
    <w:rPr>
      <w:rFonts w:ascii="Tahoma" w:hAnsi="Tahoma" w:cs="Tahoma"/>
      <w:sz w:val="16"/>
      <w:szCs w:val="16"/>
    </w:rPr>
  </w:style>
  <w:style w:type="character" w:customStyle="1" w:styleId="Heading3Char">
    <w:name w:val="Heading 3 Char"/>
    <w:basedOn w:val="DefaultParagraphFont"/>
    <w:link w:val="Heading3"/>
    <w:uiPriority w:val="9"/>
    <w:semiHidden/>
    <w:rsid w:val="004C01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C01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C01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C01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C01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C01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C01C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C01CE"/>
    <w:pPr>
      <w:spacing w:line="240" w:lineRule="auto"/>
    </w:pPr>
    <w:rPr>
      <w:b/>
      <w:bCs/>
      <w:color w:val="4F81BD" w:themeColor="accent1"/>
      <w:sz w:val="18"/>
      <w:szCs w:val="18"/>
    </w:rPr>
  </w:style>
  <w:style w:type="paragraph" w:styleId="Title">
    <w:name w:val="Title"/>
    <w:basedOn w:val="Normal"/>
    <w:next w:val="Normal"/>
    <w:link w:val="TitleChar"/>
    <w:uiPriority w:val="10"/>
    <w:qFormat/>
    <w:rsid w:val="004C01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01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C01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C01CE"/>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C01CE"/>
    <w:rPr>
      <w:i/>
      <w:iCs/>
    </w:rPr>
  </w:style>
  <w:style w:type="paragraph" w:styleId="NoSpacing">
    <w:name w:val="No Spacing"/>
    <w:link w:val="NoSpacingChar"/>
    <w:uiPriority w:val="1"/>
    <w:qFormat/>
    <w:rsid w:val="004C01CE"/>
    <w:pPr>
      <w:spacing w:after="0" w:line="240" w:lineRule="auto"/>
    </w:pPr>
  </w:style>
  <w:style w:type="character" w:customStyle="1" w:styleId="NoSpacingChar">
    <w:name w:val="No Spacing Char"/>
    <w:basedOn w:val="DefaultParagraphFont"/>
    <w:link w:val="NoSpacing"/>
    <w:uiPriority w:val="1"/>
    <w:rsid w:val="004C01CE"/>
  </w:style>
  <w:style w:type="paragraph" w:styleId="Quote">
    <w:name w:val="Quote"/>
    <w:basedOn w:val="Normal"/>
    <w:next w:val="Normal"/>
    <w:link w:val="QuoteChar"/>
    <w:uiPriority w:val="29"/>
    <w:qFormat/>
    <w:rsid w:val="004C01CE"/>
    <w:rPr>
      <w:i/>
      <w:iCs/>
      <w:color w:val="000000" w:themeColor="text1"/>
    </w:rPr>
  </w:style>
  <w:style w:type="character" w:customStyle="1" w:styleId="QuoteChar">
    <w:name w:val="Quote Char"/>
    <w:basedOn w:val="DefaultParagraphFont"/>
    <w:link w:val="Quote"/>
    <w:uiPriority w:val="29"/>
    <w:rsid w:val="004C01CE"/>
    <w:rPr>
      <w:i/>
      <w:iCs/>
      <w:color w:val="000000" w:themeColor="text1"/>
    </w:rPr>
  </w:style>
  <w:style w:type="paragraph" w:styleId="IntenseQuote">
    <w:name w:val="Intense Quote"/>
    <w:basedOn w:val="Normal"/>
    <w:next w:val="Normal"/>
    <w:link w:val="IntenseQuoteChar"/>
    <w:uiPriority w:val="30"/>
    <w:qFormat/>
    <w:rsid w:val="004C01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C01CE"/>
    <w:rPr>
      <w:b/>
      <w:bCs/>
      <w:i/>
      <w:iCs/>
      <w:color w:val="4F81BD" w:themeColor="accent1"/>
    </w:rPr>
  </w:style>
  <w:style w:type="character" w:styleId="SubtleEmphasis">
    <w:name w:val="Subtle Emphasis"/>
    <w:basedOn w:val="DefaultParagraphFont"/>
    <w:uiPriority w:val="19"/>
    <w:qFormat/>
    <w:rsid w:val="004C01CE"/>
    <w:rPr>
      <w:i/>
      <w:iCs/>
      <w:color w:val="808080" w:themeColor="text1" w:themeTint="7F"/>
    </w:rPr>
  </w:style>
  <w:style w:type="character" w:styleId="IntenseEmphasis">
    <w:name w:val="Intense Emphasis"/>
    <w:basedOn w:val="DefaultParagraphFont"/>
    <w:uiPriority w:val="21"/>
    <w:qFormat/>
    <w:rsid w:val="004C01CE"/>
    <w:rPr>
      <w:b/>
      <w:bCs/>
      <w:i/>
      <w:iCs/>
      <w:color w:val="4F81BD" w:themeColor="accent1"/>
    </w:rPr>
  </w:style>
  <w:style w:type="character" w:styleId="SubtleReference">
    <w:name w:val="Subtle Reference"/>
    <w:basedOn w:val="DefaultParagraphFont"/>
    <w:uiPriority w:val="31"/>
    <w:qFormat/>
    <w:rsid w:val="004C01CE"/>
    <w:rPr>
      <w:smallCaps/>
      <w:color w:val="C0504D" w:themeColor="accent2"/>
      <w:u w:val="single"/>
    </w:rPr>
  </w:style>
  <w:style w:type="character" w:styleId="IntenseReference">
    <w:name w:val="Intense Reference"/>
    <w:basedOn w:val="DefaultParagraphFont"/>
    <w:uiPriority w:val="32"/>
    <w:qFormat/>
    <w:rsid w:val="004C01CE"/>
    <w:rPr>
      <w:b/>
      <w:bCs/>
      <w:smallCaps/>
      <w:color w:val="C0504D" w:themeColor="accent2"/>
      <w:spacing w:val="5"/>
      <w:u w:val="single"/>
    </w:rPr>
  </w:style>
  <w:style w:type="character" w:styleId="BookTitle">
    <w:name w:val="Book Title"/>
    <w:basedOn w:val="DefaultParagraphFont"/>
    <w:uiPriority w:val="33"/>
    <w:qFormat/>
    <w:rsid w:val="004C01CE"/>
    <w:rPr>
      <w:b/>
      <w:bCs/>
      <w:smallCaps/>
      <w:spacing w:val="5"/>
    </w:rPr>
  </w:style>
  <w:style w:type="paragraph" w:styleId="TOCHeading">
    <w:name w:val="TOC Heading"/>
    <w:basedOn w:val="Heading1"/>
    <w:next w:val="Normal"/>
    <w:uiPriority w:val="39"/>
    <w:semiHidden/>
    <w:unhideWhenUsed/>
    <w:qFormat/>
    <w:rsid w:val="004C01CE"/>
    <w:pPr>
      <w:outlineLvl w:val="9"/>
    </w:pPr>
  </w:style>
  <w:style w:type="paragraph" w:styleId="TOC1">
    <w:name w:val="toc 1"/>
    <w:basedOn w:val="Normal"/>
    <w:next w:val="Normal"/>
    <w:autoRedefine/>
    <w:uiPriority w:val="39"/>
    <w:unhideWhenUsed/>
    <w:rsid w:val="004C2E65"/>
    <w:pPr>
      <w:spacing w:after="100"/>
    </w:pPr>
  </w:style>
  <w:style w:type="character" w:styleId="Hyperlink">
    <w:name w:val="Hyperlink"/>
    <w:basedOn w:val="DefaultParagraphFont"/>
    <w:uiPriority w:val="99"/>
    <w:unhideWhenUsed/>
    <w:rsid w:val="004C2E65"/>
    <w:rPr>
      <w:color w:val="0000FF" w:themeColor="hyperlink"/>
      <w:u w:val="single"/>
    </w:rPr>
  </w:style>
  <w:style w:type="character" w:customStyle="1" w:styleId="apple-style-span">
    <w:name w:val="apple-style-span"/>
    <w:basedOn w:val="DefaultParagraphFont"/>
    <w:rsid w:val="009A02E9"/>
  </w:style>
  <w:style w:type="character" w:customStyle="1" w:styleId="apple-converted-space">
    <w:name w:val="apple-converted-space"/>
    <w:basedOn w:val="DefaultParagraphFont"/>
    <w:rsid w:val="00605896"/>
  </w:style>
  <w:style w:type="character" w:styleId="FollowedHyperlink">
    <w:name w:val="FollowedHyperlink"/>
    <w:basedOn w:val="DefaultParagraphFont"/>
    <w:uiPriority w:val="99"/>
    <w:semiHidden/>
    <w:unhideWhenUsed/>
    <w:rsid w:val="00C75B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5100">
      <w:bodyDiv w:val="1"/>
      <w:marLeft w:val="0"/>
      <w:marRight w:val="0"/>
      <w:marTop w:val="0"/>
      <w:marBottom w:val="0"/>
      <w:divBdr>
        <w:top w:val="none" w:sz="0" w:space="0" w:color="auto"/>
        <w:left w:val="none" w:sz="0" w:space="0" w:color="auto"/>
        <w:bottom w:val="none" w:sz="0" w:space="0" w:color="auto"/>
        <w:right w:val="none" w:sz="0" w:space="0" w:color="auto"/>
      </w:divBdr>
    </w:div>
    <w:div w:id="320155328">
      <w:bodyDiv w:val="1"/>
      <w:marLeft w:val="0"/>
      <w:marRight w:val="0"/>
      <w:marTop w:val="0"/>
      <w:marBottom w:val="0"/>
      <w:divBdr>
        <w:top w:val="none" w:sz="0" w:space="0" w:color="auto"/>
        <w:left w:val="none" w:sz="0" w:space="0" w:color="auto"/>
        <w:bottom w:val="none" w:sz="0" w:space="0" w:color="auto"/>
        <w:right w:val="none" w:sz="0" w:space="0" w:color="auto"/>
      </w:divBdr>
    </w:div>
    <w:div w:id="332532629">
      <w:bodyDiv w:val="1"/>
      <w:marLeft w:val="0"/>
      <w:marRight w:val="0"/>
      <w:marTop w:val="0"/>
      <w:marBottom w:val="0"/>
      <w:divBdr>
        <w:top w:val="none" w:sz="0" w:space="0" w:color="auto"/>
        <w:left w:val="none" w:sz="0" w:space="0" w:color="auto"/>
        <w:bottom w:val="none" w:sz="0" w:space="0" w:color="auto"/>
        <w:right w:val="none" w:sz="0" w:space="0" w:color="auto"/>
      </w:divBdr>
    </w:div>
    <w:div w:id="519054727">
      <w:bodyDiv w:val="1"/>
      <w:marLeft w:val="0"/>
      <w:marRight w:val="0"/>
      <w:marTop w:val="0"/>
      <w:marBottom w:val="0"/>
      <w:divBdr>
        <w:top w:val="none" w:sz="0" w:space="0" w:color="auto"/>
        <w:left w:val="none" w:sz="0" w:space="0" w:color="auto"/>
        <w:bottom w:val="none" w:sz="0" w:space="0" w:color="auto"/>
        <w:right w:val="none" w:sz="0" w:space="0" w:color="auto"/>
      </w:divBdr>
    </w:div>
    <w:div w:id="539438100">
      <w:bodyDiv w:val="1"/>
      <w:marLeft w:val="0"/>
      <w:marRight w:val="0"/>
      <w:marTop w:val="0"/>
      <w:marBottom w:val="0"/>
      <w:divBdr>
        <w:top w:val="none" w:sz="0" w:space="0" w:color="auto"/>
        <w:left w:val="none" w:sz="0" w:space="0" w:color="auto"/>
        <w:bottom w:val="none" w:sz="0" w:space="0" w:color="auto"/>
        <w:right w:val="none" w:sz="0" w:space="0" w:color="auto"/>
      </w:divBdr>
    </w:div>
    <w:div w:id="779682565">
      <w:bodyDiv w:val="1"/>
      <w:marLeft w:val="0"/>
      <w:marRight w:val="0"/>
      <w:marTop w:val="0"/>
      <w:marBottom w:val="0"/>
      <w:divBdr>
        <w:top w:val="none" w:sz="0" w:space="0" w:color="auto"/>
        <w:left w:val="none" w:sz="0" w:space="0" w:color="auto"/>
        <w:bottom w:val="none" w:sz="0" w:space="0" w:color="auto"/>
        <w:right w:val="none" w:sz="0" w:space="0" w:color="auto"/>
      </w:divBdr>
    </w:div>
    <w:div w:id="860975366">
      <w:bodyDiv w:val="1"/>
      <w:marLeft w:val="0"/>
      <w:marRight w:val="0"/>
      <w:marTop w:val="0"/>
      <w:marBottom w:val="0"/>
      <w:divBdr>
        <w:top w:val="none" w:sz="0" w:space="0" w:color="auto"/>
        <w:left w:val="none" w:sz="0" w:space="0" w:color="auto"/>
        <w:bottom w:val="none" w:sz="0" w:space="0" w:color="auto"/>
        <w:right w:val="none" w:sz="0" w:space="0" w:color="auto"/>
      </w:divBdr>
    </w:div>
    <w:div w:id="931671050">
      <w:bodyDiv w:val="1"/>
      <w:marLeft w:val="0"/>
      <w:marRight w:val="0"/>
      <w:marTop w:val="0"/>
      <w:marBottom w:val="0"/>
      <w:divBdr>
        <w:top w:val="none" w:sz="0" w:space="0" w:color="auto"/>
        <w:left w:val="none" w:sz="0" w:space="0" w:color="auto"/>
        <w:bottom w:val="none" w:sz="0" w:space="0" w:color="auto"/>
        <w:right w:val="none" w:sz="0" w:space="0" w:color="auto"/>
      </w:divBdr>
    </w:div>
    <w:div w:id="1993483409">
      <w:bodyDiv w:val="1"/>
      <w:marLeft w:val="0"/>
      <w:marRight w:val="0"/>
      <w:marTop w:val="0"/>
      <w:marBottom w:val="0"/>
      <w:divBdr>
        <w:top w:val="none" w:sz="0" w:space="0" w:color="auto"/>
        <w:left w:val="none" w:sz="0" w:space="0" w:color="auto"/>
        <w:bottom w:val="none" w:sz="0" w:space="0" w:color="auto"/>
        <w:right w:val="none" w:sz="0" w:space="0" w:color="auto"/>
      </w:divBdr>
    </w:div>
    <w:div w:id="2028218182">
      <w:bodyDiv w:val="1"/>
      <w:marLeft w:val="0"/>
      <w:marRight w:val="0"/>
      <w:marTop w:val="0"/>
      <w:marBottom w:val="0"/>
      <w:divBdr>
        <w:top w:val="none" w:sz="0" w:space="0" w:color="auto"/>
        <w:left w:val="none" w:sz="0" w:space="0" w:color="auto"/>
        <w:bottom w:val="none" w:sz="0" w:space="0" w:color="auto"/>
        <w:right w:val="none" w:sz="0" w:space="0" w:color="auto"/>
      </w:divBdr>
    </w:div>
    <w:div w:id="211940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ha.europa.eu/web/guest/candidate-list-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435c9de-e7f2-4085-baeb-10d23fe210a9">5MHAA6YEUPXN-8-87</_dlc_DocId>
    <_dlc_DocIdUrl xmlns="f435c9de-e7f2-4085-baeb-10d23fe210a9">
      <Url>http://sharepoint.xrite.com/sites/IMS/_layouts/DocIdRedir.aspx?ID=5MHAA6YEUPXN-8-87</Url>
      <Description>5MHAA6YEUPXN-8-87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E5B4D845A396479AE1796C4C30B1BA" ma:contentTypeVersion="1" ma:contentTypeDescription="Create a new document." ma:contentTypeScope="" ma:versionID="273f6a518f96d9617908aaf7092c74e1">
  <xsd:schema xmlns:xsd="http://www.w3.org/2001/XMLSchema" xmlns:xs="http://www.w3.org/2001/XMLSchema" xmlns:p="http://schemas.microsoft.com/office/2006/metadata/properties" xmlns:ns2="f435c9de-e7f2-4085-baeb-10d23fe210a9" targetNamespace="http://schemas.microsoft.com/office/2006/metadata/properties" ma:root="true" ma:fieldsID="9fb2e7c45e959f5a7c827543c327df0c" ns2:_="">
    <xsd:import namespace="f435c9de-e7f2-4085-baeb-10d23fe210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5c9de-e7f2-4085-baeb-10d23fe210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BDA18-6042-4091-AA8B-A99E9FAD2CE4}">
  <ds:schemaRefs>
    <ds:schemaRef ds:uri="http://schemas.microsoft.com/sharepoint/events"/>
  </ds:schemaRefs>
</ds:datastoreItem>
</file>

<file path=customXml/itemProps2.xml><?xml version="1.0" encoding="utf-8"?>
<ds:datastoreItem xmlns:ds="http://schemas.openxmlformats.org/officeDocument/2006/customXml" ds:itemID="{66DE94B1-AA9B-44F0-9D16-D387015DC8C3}">
  <ds:schemaRefs>
    <ds:schemaRef ds:uri="http://schemas.microsoft.com/office/2006/metadata/properties"/>
    <ds:schemaRef ds:uri="http://schemas.microsoft.com/office/infopath/2007/PartnerControls"/>
    <ds:schemaRef ds:uri="f435c9de-e7f2-4085-baeb-10d23fe210a9"/>
  </ds:schemaRefs>
</ds:datastoreItem>
</file>

<file path=customXml/itemProps3.xml><?xml version="1.0" encoding="utf-8"?>
<ds:datastoreItem xmlns:ds="http://schemas.openxmlformats.org/officeDocument/2006/customXml" ds:itemID="{713A249E-59FA-407F-874D-79C63A7E99B5}">
  <ds:schemaRefs>
    <ds:schemaRef ds:uri="http://schemas.microsoft.com/sharepoint/v3/contenttype/forms"/>
  </ds:schemaRefs>
</ds:datastoreItem>
</file>

<file path=customXml/itemProps4.xml><?xml version="1.0" encoding="utf-8"?>
<ds:datastoreItem xmlns:ds="http://schemas.openxmlformats.org/officeDocument/2006/customXml" ds:itemID="{F757D2D4-2528-4664-A303-90E33E05A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5c9de-e7f2-4085-baeb-10d23fe21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06EB24-8BA5-424E-8153-A961BE8DB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4934</Words>
  <Characters>28130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X-Rite</Company>
  <LinksUpToDate>false</LinksUpToDate>
  <CharactersWithSpaces>32999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StevenWiley</dc:creator>
  <cp:lastModifiedBy>Schmidt, Mark</cp:lastModifiedBy>
  <cp:revision>5</cp:revision>
  <cp:lastPrinted>2018-06-27T19:25:00Z</cp:lastPrinted>
  <dcterms:created xsi:type="dcterms:W3CDTF">2021-04-20T14:30:00Z</dcterms:created>
  <dcterms:modified xsi:type="dcterms:W3CDTF">2021-04-21T14:20:00Z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0x01010095E5B4D845A396479AE1796C4C30B1BA</vt:lpwstr>
  </property>
  <property fmtid="{D5CDD505-2E9C-101B-9397-08002B2CF9AE}" pid="3" name="_dlc_DocIdItemGuid">
    <vt:lpwstr>7a4fffd7-886f-4e83-a844-4703d52048b4</vt:lpwstr>
  </property>
</Properties>
</file>